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津永信鉴估字2026第0006号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津MHL663宝马牌BMW7301LL(BMW530Li)小型轿车车值评估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马海林</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马海林</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津MHL663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宋鹏 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马海林</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马海林</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马海林</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津MHL663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LBVCU5107DSF15892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马海林</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马海林</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津MHL663</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宝马牌BMW7301LL(BMW530Li)</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LBVCU5107DSF15892</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00548390</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2013年03月28日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2026年06月01日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1、委托协议/合同（津永信鉴估字2026第0006号）</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按照约定时间在南开区渭水道对车辆进行了实地查勘；</w:t>
      </w:r>
      <w:r>
        <w:rPr>
          <w:rFonts w:ascii="宋体" w:eastAsia="宋体"/>
          <w:sz w:val="30"/>
        </w:rPr>
        <w:br/>
        <w:t xml:space="preserve">静态查勘：该车辆注册于2013年3月28日，至查勘时表显已行驶里程为167553公里，车身多处挂增划伤，发动机舱内油迹较多，四条轮胎均已达到更好程度，其中左前轮胎已到使用极限，四个钢圈均有不同程度损伤，后保险杠破损需更换，后保险杠右侧装饰灯丢失，右后电眼损坏，内饰及后行李箱干净整洁；</w:t>
      </w:r>
      <w:r>
        <w:rPr>
          <w:rFonts w:ascii="宋体" w:eastAsia="宋体"/>
          <w:sz w:val="30"/>
        </w:rPr>
        <w:br/>
        <w:t xml:space="preserve">动态查勘：行驶途中无异响，起步稳定，提速性能有所下降，电器系统使用正常，转向、倒车等基本行驶性能良好；</w:t>
      </w:r>
      <w:r>
        <w:rPr>
          <w:rFonts w:ascii="宋体" w:eastAsia="宋体"/>
          <w:sz w:val="30"/>
        </w:rPr>
        <w:br/>
        <w:t xml:space="preserve">总结：该车辆行驶里程数不算多，车辆维保不够细心导致驾驶性能有所下降，车身外观受损较多，轮胎必须尽快更好，车辆外观及内饰比较干净整洁；</w:t>
      </w:r>
      <w:r>
        <w:rPr>
          <w:rFonts w:ascii="宋体" w:eastAsia="宋体"/>
          <w:sz w:val="30"/>
        </w:rPr>
        <w:br/>
        <w:t xml:space="preserve">取得车辆外观及性能信息后，进行市场调研，获取调研结果后撰写本报告书；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36000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叁万陆仟元整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2026年12月02日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2026-06-06T07:59:11Z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