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津元丰泉鉴估字2026第0011号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津KSS068东风LZ6512MQ15M多用途乘用车小型普通客车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马祥春</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马祥春</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津KSS068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李兴凯、朱君、彭晓朋</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2026年03月12日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2026年03月18日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
        <w:rPr>
          <w:rFonts w:ascii="宋体" w:hAnsi="宋体" w:hint="eastAsia"/>
          <w:spacing w:val="8"/>
          <w:sz w:val="28"/>
          <w:szCs w:val="28"/>
          <w:shd w:val="clear" w:color="FFFFFF" w:fill="FFFFFF"/>
        </w:rPr>
        <w:br w:type="page"/>
      </w:r>
      <w: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津元丰泉鉴估字2026第0011号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马祥春</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津KSS068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LGG7E3D27KZ382591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马祥春</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马祥春</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津KSS068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东风LZ6512MQ15M多用途乘用车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LGG7E3D27KZ382591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S2XB850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2019年06月03日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2026年03月12日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我司接受委托人的委托于2026年3月12日在约定地点对津KSS068车辆进行实地查勘；</w:t>
      </w:r>
      <w:r>
        <w:rPr>
          <w:rFonts w:ascii="宋体" w:eastAsia="宋体"/>
          <w:sz w:val="30"/>
        </w:rPr>
        <w:br/>
        <w:t xml:space="preserve">静态查勘：表显里程已行驶32954公里，注册日期为2019年6月3日，车身有多处剐蹭未修复痕迹及锈迹，四个钢圈均有磨损，内饰整洁，发动机舱干净，电器设备使用正常；</w:t>
      </w:r>
      <w:r>
        <w:rPr>
          <w:rFonts w:ascii="宋体" w:eastAsia="宋体"/>
          <w:sz w:val="30"/>
        </w:rPr>
        <w:br/>
        <w:t xml:space="preserve">动态查勘：提速性能稍差，均速行驶稳定，行驶过程中无异响但噪音稍大，底盘及悬挂没有异常，维保做的不错；</w:t>
      </w:r>
      <w:r>
        <w:rPr>
          <w:rFonts w:ascii="宋体" w:eastAsia="宋体"/>
          <w:sz w:val="30"/>
        </w:rPr>
        <w:br/>
        <w:t xml:space="preserve">总结：该车辆各项手续齐全，年检正常，车辆技术性能保持良好，外观存在瑕疵，经市场调研，该品牌车辆市场保值率稍低，7座小客车油耗较高等原因，导致该车型二手车交易量小且价格低于同价位新车其他车型；</w:t>
      </w:r>
      <w:r>
        <w:rPr>
          <w:rFonts w:ascii="宋体" w:eastAsia="宋体"/>
          <w:sz w:val="30"/>
        </w:rPr>
        <w:br/>
        <w:t xml:space="preserve">综上所述，经市场调研及评估小组研判后做出评估意见。</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23500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贰万叁仟伍佰元整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2026年09月13日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2026年03月18日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2026-03-13T04:00:40Z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