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津元丰泉鉴字2026第0001号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冀B33BF9路虎牌CJL6460L2AW5小型普通客车车辆技术鉴定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王海龙</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2026年01月20日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2026年02月14日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2026年02月14日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津元丰泉鉴字2026第0001号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天津市宝坻区人民法院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冀B33BF9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L2CCA2BG2GG334411</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王海龙</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冀B33BF9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路虎牌CJL6460L2AW5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L2CCA2BG2GG334411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016067191348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2016年09月22日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为鉴定评估对象的维修质量提供参考依据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2026年01月27日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1、天津市宝坻区人民法院委托书（(2025)津 0117 委鉴字第 130 号）；</w:t>
      </w:r>
      <w:r/>
      <w:r>
        <w:rPr>
          <w:sz w:val="30"/>
        </w:rPr>
        <w:rPr>
          <w:rFonts w:eastAsia="宋体" w:ascii="宋体"/>
        </w:rPr>
        <w:br/>
        <w:t>2、委托协议/合同（津元丰泉鉴字2026第0001号）；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事故发生于2024年8月10日，据驾驶员描述驾驶车辆过积水路面后造成车辆熄火受损。。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查勘，自行承担不利后果。</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1、评估工作开展时，修理厂及车主本人无法提供进货清单、进货渠道信息、配件包装、支付记录及购买发票的作证资料；；</w:t>
      </w:r>
      <w:r/>
      <w:r>
        <w:rPr>
          <w:sz w:val="30"/>
        </w:rPr>
        <w:rPr>
          <w:rFonts w:eastAsia="宋体" w:ascii="宋体"/>
        </w:rPr>
        <w:br/>
        <w:t>2、天津易信机动车鉴定评估有限公司出具的损失评估报告中所有更换的配件残值均已不存在，按照维修后车辆上配件品质进行鉴定；；</w:t>
      </w:r>
      <w:r>
        <w:rPr>
          <w:sz w:val="30"/>
        </w:rPr>
        <w:rPr>
          <w:rFonts w:eastAsia="宋体" w:ascii="宋体"/>
        </w:rPr>
        <w:br/>
        <w:t>3、按照因果关系鉴定明细对合理的更换配件及维修项目进行维修品质鉴定，经市场调研车辆现使用的配件品质及维修工时后，撰写本意见书。。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1、综上所述，对被鉴定车辆的实际维修品质做出鉴定意见，实际维修金额为49805元，大写人民币：（肆万玖仟捌佰零伍元整）；；</w:t>
      </w:r>
      <w:r/>
      <w:r>
        <w:rPr>
          <w:sz w:val="30"/>
        </w:rPr>
        <w:rPr>
          <w:rFonts w:eastAsia="宋体" w:ascii="宋体"/>
        </w:rPr>
        <w:br/>
        <w:t>2、详情见损失明细。。</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3、鉴定评估申请人或被申请人对未能提供鉴定评估所需的检材承担不利后果。</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2027年02月13日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2026年02月14日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