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津元丰泉鉴估字2025第0031号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津CX2707豪沃牌ZZ4257V424KF1L重型半挂牵引车车损评估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天津市蓟州区人民法院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天津拓达中成建筑工程有限公司</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津CX2707</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李兴凯,李兴凯,彭晓朋</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2025年11月03日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2025年11月28日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2025年11月28日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2025年11月28日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津元丰泉鉴估字2025第0031号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10</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津CX2707</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LZZ1CL303PJ299998</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天津市蓟州区人民法院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天津拓达中成建筑工程有限公司</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货运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津CX2707</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重型半挂牵引车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豪沃牌ZZ4257V424KF1L</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LZZ1CL303PJ299998</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3123H069163</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2023年09月26日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2024年07月09日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2、《事故汽车修复技术规范》；</w:t>
      </w:r>
      <w:r>
        <w:rPr>
          <w:sz w:val="30"/>
        </w:rPr>
        <w:rPr>
          <w:rFonts w:eastAsia="宋体" w:ascii="宋体"/>
        </w:rPr>
        <w:br/>
        <w:t>3、其他相关国家/行业标准、技术规范等。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1、天津市蓟州区人民法院委托书（(2025)津 0119 委鉴字第 92 号）；</w:t>
      </w:r>
      <w:r/>
      <w:r>
        <w:rPr>
          <w:sz w:val="30"/>
        </w:rPr>
        <w:rPr>
          <w:rFonts w:eastAsia="宋体" w:ascii="宋体"/>
        </w:rPr>
        <w:br/>
        <w:t>2、委托协议/合同（津元丰泉鉴估字2025第0031号）；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r>
        <w:rPr>
          <w:sz w:val="30"/>
        </w:rPr>
        <w:rPr>
          <w:rFonts w:eastAsia="宋体" w:ascii="宋体"/>
        </w:rPr>
        <w:br/>
        <w:t>2、行驶证。</w:t>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按照约定的时间地点对残值及修复的车俩进行查勘；</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鉴定评估工作开展时，车辆是已修复状态，并投入正常使用中；</w:t>
      </w:r>
      <w:r>
        <w:rPr>
          <w:sz w:val="30"/>
        </w:rPr>
        <w:rPr>
          <w:rFonts w:eastAsia="宋体" w:ascii="宋体"/>
        </w:rPr>
        <w:br/>
        <w:t>对残值配件进行拍照取证后编辑出需要更换配件及维修工时项目明细，按照明细进行市场调研，获取调研结果后撰写本报告书。</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112800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壹拾壹万贰仟捌佰元整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2026年11月27日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2025年11月28日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