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津ABG1530熊猫牌GK5034XXYBEV01轻型封闭式货车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华金利滔（天津）租赁有限公司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津ABG1530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2025年11月18日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2025年11月18日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2025年11月18日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津元丰泉鉴字2025第0033号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天津市武清区人民法院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津ABG1530</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HGCH1KB61RZ015541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华金利滔（天津）租赁有限公司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津ABG1530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轻型封闭式货车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熊猫牌GK5034XXYBEV01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HGCH1KB61RZ015541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TY20241016272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2024年12月10日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2025年05月22日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1、天津市武清区人民法院委托书（(2025)津 0114 委鉴字第 34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2、维修明细。</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事故发生于2025年5月22日，造成车辆左侧受损。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接收线上委托后及时与相关人员取得联系并约定了查勘的时间及地点；</w:t>
      </w:r>
      <w:r>
        <w:rPr>
          <w:rFonts w:ascii="宋体" w:eastAsia="宋体"/>
          <w:sz w:val="30"/>
        </w:rPr>
        <w:br/>
        <w:t xml:space="preserve">车辆为已修复并投入正常使用状态；</w:t>
      </w:r>
      <w:r>
        <w:rPr>
          <w:rFonts w:ascii="宋体" w:eastAsia="宋体"/>
          <w:sz w:val="30"/>
        </w:rPr>
        <w:br/>
        <w:t xml:space="preserve">按照约定的时间地点对已修复的车辆进行查勘取证，经综合研判后撰写本报告书。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按照维修明细所示，车辆更换左侧两个钢圈及轮胎和左前门，左侧叶子板及侧围钣金喷漆；</w:t>
      </w:r>
      <w:r>
        <w:rPr>
          <w:rFonts w:ascii="宋体" w:eastAsia="宋体"/>
          <w:sz w:val="30"/>
        </w:rPr>
        <w:br/>
        <w:t xml:space="preserve">修复该车辆需要更换配件及钣金喷漆，修复过程有钣金时间及钣金部位腻子晾干打磨时间，喷底漆后再打磨及喷漆后烤干等时间。</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i w:val="false"/>
          <w:caps w:val="false"/>
          <w:color w:val="FF0000"/>
          <w:spacing w:val="0"/>
          <w:sz w:val="30"/>
          <w:szCs w:val="32"/>
          <w:highlight w:val="none"/>
          <w:u w:val="none"/>
          <w:shd w:val="clear" w:color="FFFFFF" w:fill="FFFFFF"/>
          <w:lang w:val="en-US" w:bidi="ar" w:eastAsia="zh-CN"/>
        </w:rPr>
        <w:t xml:space="preserve">综上所述，经过对维修工艺及维修过程研判后，确定维修时长为5天。</w:t>
      </w:r>
      <w:r>
        <w:rPr>
          <w:rFonts w:ascii="宋体" w:eastAsia="宋体"/>
          <w:b/>
          <w:color w:val="FF0000"/>
          <w:sz w:val="30"/>
        </w:rPr>
        <w:br/>
        <w:t xml:space="preserve">注：未考虑备件及定损等原因的消耗时间。</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4、未考虑备件及定损等原因的消耗时间。</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2026年11月17日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2025年11月18日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2025-11-13T07:58:42Z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