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津元丰泉鉴估字2025第0008号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津K56355宝马WBS41AZ0小型轿车车损评估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天津市南开区人民法院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江炜</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津K56355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2025年04月09日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天津市南开区人民法院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2025年04月09日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天津市南开区人民法院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2025年04月09日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津元丰泉鉴估字2025第0008号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天津市南开区人民法院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津K56355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WBS41AZ05NCJ20849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天津市南开区人民法院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江炜</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津K56355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宝马WBS41AZ0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WBS41AZ05NCJ20849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J0344107S58B30A</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2022年03月02日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2024年10月25日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1、天津市南开区人民法院委托书（(2025)津0104司技委字第034号）；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鉴定评估工作开展前已通知相关当事人鉴定评估的时间及地点，并告知如未到场视为对鉴定评估过程及结果认可；</w:t>
      </w:r>
      <w:r>
        <w:rPr>
          <w:rFonts w:ascii="宋体" w:eastAsia="宋体"/>
          <w:sz w:val="30"/>
        </w:rPr>
        <w:br/>
        <w:t xml:space="preserve">鉴定评估工作开展时车辆已及时修复并正常使用；</w:t>
      </w:r>
      <w:r>
        <w:rPr>
          <w:rFonts w:ascii="宋体" w:eastAsia="宋体"/>
          <w:sz w:val="30"/>
        </w:rPr>
        <w:br/>
        <w:t xml:space="preserve">到达查勘现场对车辆及残值进行查勘并拍照取证，获取损失照片后对更换配件及相关维修工时项目进行整理并编辑维修明细，按照维修明细进行市场调研，取得调研结果后撰写本报告书。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94200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玖万肆仟贰佰元整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2026年04月08日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2025年04月09日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2025-04-06T06:37:56Z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