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津元丰泉鉴估字2025第0011号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津DC271挂华岳兴牌FNZ9407CCYE重仓栅式半挂车车损评估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天津七星物流有限公司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津DC271挂</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2025年03月03日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津元丰泉鉴估字2025第0011号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33</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津DC271挂</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LA99FRC38N0FNZ024</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天津七星物流有限公司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津DC271挂</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重仓栅式半挂车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华岳兴牌FNZ9407CCYE</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LA99FRC38N0FNZ024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无</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2022年06月20日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2025年03月03日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1、天津铁路运输法院委托书（(2025)津8601诉前鉴第094号）；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按照约定的时间及地点对车辆实地查勘，车辆是未维修状态；</w:t>
      </w:r>
      <w:r>
        <w:rPr>
          <w:rFonts w:ascii="宋体" w:eastAsia="宋体"/>
          <w:sz w:val="30"/>
        </w:rPr>
        <w:br/>
        <w:t xml:space="preserve">车辆拍照取证后，核对损失项目并列出损失明细，按照损失明细市场调研配件及维修工时费用，获取市场调研结果后撰写本报告书。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49000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肆万玖仟元整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2026年03月27日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2025-03-16T03:20:36Z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