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津元丰泉鉴估字2024第0037号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津B3H055奥迪牌FV7201BBDCG小型轿车车损评估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刘旭</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张松</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津B3H055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2024年12月10日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刘旭</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刘旭</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津元丰泉鉴估字2024第0037号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刘旭</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津B3H055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LFV3A24K7M3013780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刘旭</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张松</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津B3H055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奥迪牌FV7201BBDCG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LFV3A24K7M3013780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E07542</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2021年03月23日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2024年12月10日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按照委托人的委托到场实地查勘车辆，车辆前部损失严重，发动机后移，室内主副气囊及左右气练均爆开的损失情况；</w:t>
      </w:r>
      <w:r>
        <w:rPr>
          <w:rFonts w:ascii="宋体" w:eastAsia="宋体"/>
          <w:sz w:val="30"/>
        </w:rPr>
        <w:br/>
        <w:t xml:space="preserve">鉴定评估工作开展时，车辆是未拆解状态；</w:t>
      </w:r>
      <w:r>
        <w:rPr>
          <w:rFonts w:ascii="宋体" w:eastAsia="宋体"/>
          <w:sz w:val="30"/>
        </w:rPr>
        <w:br/>
        <w:t xml:space="preserve">车辆拆解后对车辆进行第二次查勘，对相关损失拍照取证，按照获取的损失照片整理编辑损失明细，依据损失明细对所需更换的配件及维修工时进行市场调研，获取市场调研结果后撰写本报告书。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342000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叁拾肆万贰仟元整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2026年01月19日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2025-01-21T01:37:04Z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