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津F08Q73欧铃牌ZB1030ASC3L轻型栏板货车车损评估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吴俊鹏</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津F08Q73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2024年12月31日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津F08Q73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LA71CGE32L0032817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吴俊鹏</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津F08Q73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轻型栏板货车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欧铃牌ZB1030ASC3L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LA71CGE32L0032817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20034887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2022年07月15日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2024年12月31日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1、天津市武清区人民法院委托书（(2024)津0114诉前鉴第1124号）；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接到线上委托的损失鉴定评估任务后及时与相关人员取得联系，并约定了鉴定评估的时间及地点；</w:t>
      </w:r>
      <w:r>
        <w:rPr>
          <w:rFonts w:ascii="宋体" w:eastAsia="宋体"/>
          <w:sz w:val="30"/>
        </w:rPr>
        <w:br/>
        <w:t xml:space="preserve">按照约定的时间及地点对车辆进行实地查勘，鉴定评估工作开展时，车辆还未维修；</w:t>
      </w:r>
      <w:r>
        <w:rPr>
          <w:rFonts w:ascii="宋体" w:eastAsia="宋体"/>
          <w:sz w:val="30"/>
        </w:rPr>
        <w:br/>
        <w:t xml:space="preserve">到场后，对车辆损失拍照取证，根据损失编辑出损失清单，按照损失清单对需要更换的配件及工时费进行市场调研，获取调研结果后撰写本报告书。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39800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叁万玖仟捌佰元整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4、按照委托书要求内容进行鉴定评估，不做其他考虑。</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2026年01月19日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2025-01-16T04:18:14Z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