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96"/>
        <w:jc w:val="left"/>
        <w:keepLines w:val="false"/>
        <w:keepNext w:val="false"/>
        <w:shd w:val="clear" w:fill="auto" w:color="auto"/>
        <w:widowControl/>
        <w:rPr>
          <w:rFonts w:ascii="黑体" w:hAnsi="黑体" w:cs="黑体" w:eastAsia="黑体" w:hint="eastAsia"/>
          <w:b/>
          <w:bCs/>
          <w:sz w:val="72"/>
          <w:szCs w:val="72"/>
        </w:rPr>
        <w:suppressLineNumbers w:val="0"/>
      </w:pPr>
      <w:r>
        <w:rPr>
          <w:rFonts w:ascii="黑体" w:hAnsi="黑体" w:cs="黑体" w:eastAsia="黑体" w:hint="default"/>
          <w:b/>
          <w:bCs/>
          <w:sz w:val="72"/>
          <w:szCs w:val="72"/>
          <w:lang w:val="en-US" w:bidi="ar-SA" w:eastAsia="zh-CN"/>
        </w:rPr>
        <w:t xml:space="preserve">   停运损失鉴定评估意见书</w:t>
      </w:r>
      <w:r>
        <w:rPr>
          <w:sz w:val="32"/>
          <w:szCs w:val="32"/>
        </w:rPr>
      </w:r>
      <w:r/>
    </w:p>
    <w:p>
      <w:pPr>
        <w:keepLines w:val="false"/>
        <w:keepNext w:val="false"/>
        <w:pageBreakBefore w:val="false"/>
        <w:spacing w:lineRule="auto" w:line="360" w:afterAutospacing="0"/>
        <w:shd w:val="clear" w:fill="auto" w:color="auto"/>
        <w:rPr>
          <w:sz w:val="32"/>
          <w:szCs w:val="32"/>
        </w:rPr>
      </w:pPr>
      <w:r>
        <w:rPr>
          <w:sz w:val="16"/>
          <w:szCs w:val="32"/>
        </w:rPr>
        <w:t xml:space="preserve">                                                                        </w:t>
      </w:r>
      <w:r>
        <w:rPr>
          <w:sz w:val="22"/>
          <w:szCs w:val="32"/>
        </w:rPr>
        <w:t xml:space="preserve">津元丰泉鉴估字2025第0003号</w:t>
      </w:r>
      <w:r>
        <w:rPr>
          <w:rFonts w:eastAsia="宋体"/>
          <w:sz w:val="20"/>
          <w:szCs w:val="32"/>
        </w:rPr>
      </w:r>
      <w:r/>
    </w:p>
    <w:p>
      <w:pPr>
        <w:jc w:val="center"/>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6"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150.0pt;height:150.0pt;" stroked="false">
                <v:path textboxrect="0,0,0,0"/>
                <v:imagedata r:id="rId13" o:title=""/>
              </v:shape>
            </w:pict>
          </mc:Fallback>
        </mc:AlternateContent>
      </w:r>
      <w: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津C4Z529揽胜牌SALGA3VF小型越野客车停运损失评估</w:t>
      </w:r>
      <w:r>
        <w:rPr>
          <w:rFonts w:ascii="宋体" w:hAnsi="宋体" w:cs="宋体" w:eastAsia="宋体" w:hint="eastAsia"/>
          <w:sz w:val="28"/>
          <w:szCs w:val="28"/>
        </w:rPr>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天津市西青区人民法院</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rPr>
        <w:t xml:space="preserve">所有人：张连喜</w:t>
      </w:r>
      <w:r>
        <w:rPr>
          <w:rFonts w:ascii="宋体" w:eastAsia="宋体"/>
          <w:b w:val="false"/>
          <w:i w:val="false"/>
          <w:caps w:val="false"/>
          <w:color w:val="333333"/>
          <w:spacing w:val="0"/>
          <w:sz w:val="30"/>
          <w:szCs w:val="32"/>
          <w:u w:val="none"/>
          <w:shd w:val="nil" w:fill="auto" w:color="auto"/>
          <w:lang w:val="en-US" w:bidi="ar" w:eastAsia="zh-CN"/>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r>
      <w:r>
        <w:rPr>
          <w:rFonts w:ascii="宋体" w:hAnsi="宋体" w:cs="宋体" w:eastAsia="宋体" w:hint="eastAsia"/>
          <w:sz w:val="28"/>
          <w:szCs w:val="28"/>
        </w:rP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highlight w:val="none"/>
        </w:rPr>
        <w:t xml:space="preserve">车牌号码：津C4Z529</w:t>
      </w:r>
      <w:r>
        <w:rPr>
          <w:rFonts w:ascii="宋体" w:hAnsi="宋体" w:cs="宋体" w:eastAsia="宋体" w:hint="eastAsia"/>
          <w:sz w:val="28"/>
          <w:szCs w:val="28"/>
          <w:highlight w:val="none"/>
        </w:rP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李兴凯、朱君、刘鹏</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2024年12月19日</w:t>
      </w:r>
      <w:r>
        <w:rPr>
          <w:rFonts w:ascii="宋体" w:hAnsi="宋体" w:cs="宋体" w:eastAsia="宋体" w:hint="eastAsia"/>
          <w:sz w:val="28"/>
          <w:szCs w:val="28"/>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2025年01月13日</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rPr>
      </w:pPr>
      <w:r>
        <w:rPr>
          <w:rFonts w:ascii="宋体" w:eastAsia="宋体"/>
          <w:sz w:val="30"/>
          <w:szCs w:val="28"/>
          <w:shd w:val="nil" w:fill="auto" w:color="auto"/>
        </w:rPr>
        <w:t xml:space="preserve">天津元丰泉机动车鉴定评估有限公司</w:t>
      </w:r>
      <w:r/>
    </w:p>
    <w:p>
      <w:pPr>
        <w:keepLines w:val="false"/>
        <w:keepNext w:val="false"/>
        <w:pageBreakBefore w:val="false"/>
        <w:spacing w:lineRule="auto" w:line="360"/>
        <w:shd w:val="clear" w:fill="auto" w:color="auto"/>
        <w:rPr>
          <w:rFonts w:ascii="宋体" w:hAnsi="宋体" w:cs="宋体" w:eastAsia="宋体"/>
          <w:sz w:val="28"/>
          <w:szCs w:val="28"/>
        </w:rPr>
      </w:pPr>
      <w:r>
        <w:rPr>
          <w:rFonts w:ascii="宋体" w:hAnsi="宋体" w:cs="宋体" w:eastAsia="宋体"/>
          <w:sz w:val="28"/>
          <w:szCs w:val="28"/>
        </w:rPr>
      </w:r>
      <w:r/>
    </w:p>
    <w:p>
      <w:pPr>
        <w:shd w:val="clear" w:fill="auto" w:color="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997"/>
        <w:ind w:left="420" w:right="23" w:firstLine="42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997"/>
        <w:ind w:left="0" w:right="23" w:firstLine="639"/>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fill="auto" w:color="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fill="auto" w:color="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fill="auto" w:color="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天津市西青区人民法院</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2025年01月13日</w:t>
      </w:r>
      <w:r/>
    </w:p>
    <w:p>
      <w:pPr>
        <w:ind w:left="0" w:firstLine="0"/>
        <w:jc w:val="center"/>
        <w:keepLines w:val="false"/>
        <w:keepNext w:val="false"/>
        <w:pageBreakBefore w:val="false"/>
        <w:spacing w:lineRule="auto" w:line="420" w:afterAutospacing="0"/>
        <w:shd w:val="clear" w:fill="auto" w:color="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天津市西青区人民法院</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left"/>
        <w:keepLines w:val="false"/>
        <w:keepNext w:val="false"/>
        <w:pageBreakBefore w:val="false"/>
        <w:spacing w:lineRule="auto" w:line="420" w:afterAutospacing="0"/>
        <w:shd w:val="clear" w:fill="auto" w:color="auto"/>
        <w:widowControl w:val="off"/>
        <w:rPr>
          <w:rFonts w:ascii="宋体" w:hAnsi="宋体" w:eastAsia="宋体" w:hint="eastAsia"/>
          <w:sz w:val="28"/>
          <w:szCs w:val="28"/>
        </w:rPr>
      </w:pPr>
      <w:r>
        <w:rPr>
          <w:rFonts w:ascii="宋体" w:hAnsi="宋体" w:eastAsia="宋体" w:hint="eastAsia"/>
          <w:sz w:val="28"/>
          <w:szCs w:val="28"/>
          <w:highlight w:val="none"/>
        </w:rPr>
      </w:r>
      <w:r>
        <w:rPr>
          <w:rFonts w:ascii="宋体" w:hAnsi="宋体" w:eastAsia="宋体" w:hint="eastAsia"/>
          <w:sz w:val="28"/>
          <w:szCs w:val="28"/>
          <w:highlight w:val="none"/>
        </w:rPr>
      </w:r>
    </w:p>
    <w:p>
      <w:pPr>
        <w:ind w:left="0" w:right="2385" w:firstLine="0"/>
        <w:jc w:val="left"/>
        <w:keepLines w:val="false"/>
        <w:keepNext w:val="false"/>
        <w:pageBreakBefore w:val="false"/>
        <w:spacing w:lineRule="auto" w:line="420" w:afterAutospacing="0"/>
        <w:shd w:val="clear" w:fill="auto" w:color="auto"/>
        <w:widowControl w:val="off"/>
        <w:rPr>
          <w:rFonts w:ascii="宋体" w:hAnsi="宋体" w:eastAsia="宋体" w:hint="eastAsia"/>
          <w:sz w:val="28"/>
          <w:szCs w:val="28"/>
          <w:highlight w:val="none"/>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right="2385"/>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2025年01月13日</w:t>
      </w:r>
      <w:r/>
    </w:p>
    <w:p>
      <w:pPr>
        <w:ind w:right="2385" w:firstLine="28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pStyle w:val="997"/>
        <w:jc w:val="both"/>
        <w:keepLines w:val="false"/>
        <w:keepNext w:val="false"/>
        <w:pageBreakBefore w:val="false"/>
        <w:spacing w:lineRule="auto" w:line="480" w:after="0" w:afterAutospacing="0" w:before="0" w:beforeAutospacing="0"/>
        <w:shd w:val="clear" w:fill="auto" w:color="auto"/>
        <w:widowControl/>
        <w:rPr>
          <w:rFonts w:ascii="黑体" w:hAnsi="黑体" w:cs="黑体" w:eastAsia="黑体"/>
          <w:b/>
          <w:bCs/>
          <w:sz w:val="28"/>
          <w:szCs w:val="28"/>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997"/>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bCs/>
          <w:sz w:val="48"/>
          <w:szCs w:val="48"/>
        </w:rPr>
      </w:pPr>
      <w:r>
        <w:rPr>
          <w:rFonts w:ascii="黑体" w:hAnsi="黑体" w:cs="黑体" w:eastAsia="黑体" w:hint="eastAsia"/>
          <w:b/>
          <w:bCs/>
          <w:sz w:val="48"/>
          <w:szCs w:val="48"/>
        </w:rPr>
      </w:r>
      <w:r>
        <w:rPr>
          <w:rFonts w:ascii="黑体" w:hAnsi="黑体" w:cs="黑体" w:eastAsia="黑体"/>
          <w:b/>
          <w:bCs/>
          <w:sz w:val="48"/>
          <w:szCs w:val="48"/>
        </w:rPr>
        <w:t xml:space="preserve">停运损失鉴定评估意见书</w:t>
      </w:r>
      <w:r>
        <w:rPr>
          <w:rFonts w:ascii="黑体" w:hAnsi="黑体" w:cs="黑体" w:eastAsia="黑体"/>
          <w:b/>
          <w:bCs/>
          <w:sz w:val="48"/>
          <w:szCs w:val="48"/>
        </w:rPr>
      </w:r>
      <w:r/>
    </w:p>
    <w:p>
      <w:pPr>
        <w:jc w:val="right"/>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津元丰泉鉴估字2025第0003号</w:t>
      </w:r>
      <w:r/>
    </w:p>
    <w:p>
      <w:pPr>
        <w:ind w:left="16" w:right="840" w:hanging="16"/>
        <w:keepLines w:val="false"/>
        <w:keepNext w:val="false"/>
        <w:pageBreakBefore w:val="false"/>
        <w:spacing w:lineRule="auto" w:line="360" w:afterAutospacing="0"/>
        <w:shd w:val="clear" w:fill="auto" w:color="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天津市西青区人民法院</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106</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津C4Z529</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SALGA3VF3GA247729</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997"/>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998"/>
        <w:tblpPr w:horzAnchor="page" w:tblpX="1060" w:vertAnchor="page" w:tblpY="6826" w:leftFromText="180" w:topFromText="0" w:rightFromText="180" w:bottomFromText="0"/>
        <w:tblW w:w="10845"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600" w:firstRow="0" w:lastRow="0" w:firstColumn="0" w:lastColumn="0" w:noHBand="1" w:noVBand="1"/>
      </w:tblPr>
      <w:tblGrid>
        <w:gridCol w:w="9888"/>
        <w:gridCol w:w="5700"/>
        <w:gridCol w:w="1944"/>
        <w:gridCol w:w="3651"/>
      </w:tblGrid>
      <w:tr>
        <w:trPr>
          <w:gridAfter w:val="2"/>
          <w:jc w:val="center"/>
          <w:trHeight w:val="1536"/>
        </w:trPr>
        <w:tc>
          <w:tcPr>
            <w:tcW w:w="9888" w:type="dxa"/>
            <w:vAlign w:val="top"/>
            <w:textDirection w:val="lrTb"/>
            <w:noWrap w:val="false"/>
          </w:tcPr>
          <w:p>
            <w:pPr>
              <w:pStyle w:val="836"/>
              <w:contextualSpacing w:val="false"/>
              <w:ind w:left="0" w:firstLine="0"/>
              <w:jc w:val="left"/>
              <w:spacing w:lineRule="auto" w:line="360"/>
              <w:shd w:val="clear" w:color="FFFFFF" w:fill="FFFFFF" w:themeFill="background1" w:themeColor="background1"/>
              <w:rPr>
                <w:rFonts w:ascii="宋体" w:hAnsi="宋体" w:cs="宋体" w:eastAsia="宋体" w:hint="eastAsia"/>
                <w:sz w:val="30"/>
                <w:szCs w:val="30"/>
              </w:rPr>
              <w:suppressLineNumbers w:val="0"/>
            </w:pPr>
            <w:r>
              <w:rPr>
                <w:rFonts w:ascii="宋体" w:hAnsi="宋体" w:cs="宋体" w:eastAsia="宋体" w:hint="eastAsia"/>
                <w:sz w:val="30"/>
                <w:szCs w:val="30"/>
              </w:rPr>
              <w:t xml:space="preserve">委托方：</w:t>
            </w:r>
            <w:r>
              <w:rPr>
                <w:rFonts w:ascii="宋体" w:hAnsi="宋体" w:cs="宋体" w:eastAsia="宋体" w:hint="eastAsia"/>
                <w:sz w:val="30"/>
                <w:szCs w:val="30"/>
              </w:rPr>
              <w:t xml:space="preserve">天津市西青人民法院</w:t>
            </w:r>
            <w:r/>
          </w:p>
          <w:p>
            <w:pPr>
              <w:pStyle w:val="836"/>
              <w:contextualSpacing w:val="false"/>
              <w:ind w:left="0" w:firstLine="0"/>
              <w:jc w:val="left"/>
              <w:spacing w:lineRule="auto" w:line="360"/>
              <w:shd w:val="clear" w:color="FFFFFF" w:fill="FFFFFF" w:themeFill="background1" w:themeColor="background1"/>
              <w:rPr>
                <w:rFonts w:ascii="宋体" w:hAnsi="宋体" w:cs="宋体" w:eastAsia="宋体" w:hint="eastAsia"/>
                <w:sz w:val="30"/>
                <w:szCs w:val="30"/>
                <w:highlight w:val="none"/>
              </w:rPr>
              <w:suppressLineNumbers w:val="0"/>
            </w:pPr>
            <w:r>
              <w:rPr>
                <w:rFonts w:ascii="宋体" w:hAnsi="宋体" w:cs="宋体" w:eastAsia="宋体" w:hint="eastAsia"/>
                <w:sz w:val="30"/>
                <w:szCs w:val="30"/>
              </w:rPr>
              <w:t xml:space="preserve">所有人：张连喜</w:t>
            </w:r>
            <w:r/>
          </w:p>
          <w:p>
            <w:pPr>
              <w:pStyle w:val="836"/>
              <w:contextualSpacing w:val="false"/>
              <w:ind w:left="0" w:firstLine="0"/>
              <w:jc w:val="left"/>
              <w:spacing w:lineRule="auto" w:line="360"/>
              <w:shd w:val="clear" w:color="FFFFFF" w:fill="FFFFFF" w:themeFill="background1" w:themeColor="background1"/>
              <w:rPr>
                <w:rFonts w:ascii="宋体" w:hAnsi="宋体" w:cs="宋体" w:eastAsia="宋体" w:hint="eastAsia"/>
                <w:sz w:val="30"/>
                <w:szCs w:val="30"/>
              </w:rPr>
              <w:suppressLineNumbers w:val="0"/>
            </w:pPr>
            <w:r>
              <w:rPr>
                <w:rFonts w:ascii="宋体" w:hAnsi="宋体" w:cs="宋体" w:eastAsia="宋体" w:hint="eastAsia"/>
                <w:sz w:val="30"/>
                <w:szCs w:val="30"/>
                <w:highlight w:val="none"/>
              </w:rPr>
              <w:t xml:space="preserve">使用性质：非营运</w:t>
            </w:r>
            <w:r>
              <w:rPr>
                <w:rFonts w:ascii="宋体" w:hAnsi="宋体" w:cs="宋体" w:eastAsia="宋体" w:hint="eastAsia"/>
                <w:sz w:val="30"/>
                <w:szCs w:val="30"/>
                <w:highlight w:val="none"/>
              </w:rPr>
            </w:r>
          </w:p>
          <w:p>
            <w:pPr>
              <w:pStyle w:val="836"/>
              <w:contextualSpacing w:val="false"/>
              <w:ind w:left="0" w:firstLine="0"/>
              <w:jc w:val="left"/>
              <w:spacing w:lineRule="auto" w:line="360"/>
              <w:shd w:val="clear" w:color="FFFFFF" w:fill="FFFFFF" w:themeFill="background1" w:themeColor="background1"/>
              <w:rPr>
                <w:rFonts w:ascii="宋体" w:hAnsi="宋体" w:cs="宋体" w:eastAsia="宋体" w:hint="eastAsia"/>
                <w:sz w:val="30"/>
                <w:szCs w:val="30"/>
              </w:rPr>
              <w:suppressLineNumbers w:val="0"/>
            </w:pPr>
            <w:r>
              <w:rPr>
                <w:rFonts w:ascii="宋体" w:hAnsi="宋体" w:cs="宋体" w:eastAsia="宋体" w:hint="eastAsia"/>
                <w:sz w:val="30"/>
                <w:szCs w:val="30"/>
              </w:rPr>
              <w:t xml:space="preserve">车牌号码：津C4Z529</w:t>
            </w:r>
            <w:r/>
          </w:p>
          <w:p>
            <w:pPr>
              <w:pStyle w:val="836"/>
              <w:contextualSpacing w:val="false"/>
              <w:ind w:left="0" w:firstLine="0"/>
              <w:jc w:val="left"/>
              <w:spacing w:lineRule="auto" w:line="360"/>
              <w:shd w:val="clear" w:color="FFFFFF" w:fill="FFFFFF" w:themeFill="background1" w:themeColor="background1"/>
              <w:rPr>
                <w:rFonts w:ascii="宋体" w:hAnsi="宋体" w:cs="宋体" w:eastAsia="宋体" w:hint="eastAsia"/>
                <w:sz w:val="30"/>
                <w:szCs w:val="30"/>
              </w:rPr>
              <w:suppressLineNumbers w:val="0"/>
            </w:pPr>
            <w:r>
              <w:rPr>
                <w:rFonts w:ascii="宋体" w:hAnsi="宋体" w:cs="宋体" w:eastAsia="宋体" w:hint="eastAsia"/>
                <w:sz w:val="30"/>
                <w:szCs w:val="30"/>
              </w:rPr>
              <w:t xml:space="preserve">车辆类型：小型越野客车</w:t>
            </w:r>
            <w:r/>
          </w:p>
          <w:p>
            <w:pPr>
              <w:pStyle w:val="836"/>
              <w:contextualSpacing w:val="false"/>
              <w:ind w:left="0" w:firstLine="0"/>
              <w:jc w:val="left"/>
              <w:spacing w:lineRule="auto" w:line="360"/>
              <w:shd w:val="clear" w:color="FFFFFF" w:fill="FFFFFF" w:themeFill="background1" w:themeColor="background1"/>
              <w:rPr>
                <w:rFonts w:ascii="宋体" w:hAnsi="宋体" w:cs="宋体" w:eastAsia="宋体" w:hint="eastAsia"/>
                <w:sz w:val="30"/>
                <w:szCs w:val="30"/>
              </w:rPr>
              <w:suppressLineNumbers w:val="0"/>
            </w:pPr>
            <w:r>
              <w:rPr>
                <w:rFonts w:ascii="宋体" w:hAnsi="宋体" w:cs="宋体" w:eastAsia="宋体" w:hint="eastAsia"/>
                <w:sz w:val="30"/>
                <w:szCs w:val="30"/>
              </w:rPr>
              <w:t xml:space="preserve">品牌型号：</w:t>
            </w:r>
            <w:r>
              <w:rPr>
                <w:rFonts w:ascii="宋体" w:hAnsi="宋体" w:cs="宋体" w:eastAsia="宋体" w:hint="eastAsia"/>
                <w:sz w:val="30"/>
                <w:szCs w:val="30"/>
              </w:rPr>
              <w:t xml:space="preserve">揽胜牌SALGA3VF</w:t>
            </w:r>
            <w:r/>
          </w:p>
          <w:p>
            <w:pPr>
              <w:pStyle w:val="836"/>
              <w:contextualSpacing w:val="false"/>
              <w:ind w:left="0" w:firstLine="0"/>
              <w:jc w:val="left"/>
              <w:spacing w:lineRule="auto" w:line="360"/>
              <w:shd w:val="clear" w:color="FFFFFF" w:fill="FFFFFF" w:themeFill="background1" w:themeColor="background1"/>
              <w:rPr>
                <w:rFonts w:ascii="宋体" w:hAnsi="宋体" w:cs="宋体" w:eastAsia="宋体" w:hint="eastAsia"/>
                <w:sz w:val="30"/>
                <w:szCs w:val="30"/>
              </w:rPr>
              <w:suppressLineNumbers w:val="0"/>
            </w:pPr>
            <w:r>
              <w:rPr>
                <w:rFonts w:ascii="宋体" w:hAnsi="宋体" w:cs="宋体" w:eastAsia="宋体" w:hint="eastAsia"/>
                <w:sz w:val="30"/>
                <w:szCs w:val="30"/>
              </w:rPr>
              <w:t xml:space="preserve">识别代码：</w:t>
            </w:r>
            <w:r>
              <w:rPr>
                <w:rFonts w:ascii="宋体" w:hAnsi="宋体" w:cs="宋体" w:eastAsia="宋体" w:hint="eastAsia"/>
                <w:sz w:val="30"/>
                <w:szCs w:val="30"/>
              </w:rPr>
              <w:t xml:space="preserve">SALGA3VF3GA247729</w:t>
            </w:r>
            <w:r/>
          </w:p>
          <w:p>
            <w:pPr>
              <w:pStyle w:val="836"/>
              <w:contextualSpacing w:val="false"/>
              <w:ind w:left="0" w:firstLine="0"/>
              <w:jc w:val="left"/>
              <w:spacing w:lineRule="auto" w:line="360"/>
              <w:shd w:val="clear" w:color="FFFFFF" w:fill="FFFFFF" w:themeFill="background1" w:themeColor="background1"/>
              <w:rPr>
                <w:rFonts w:ascii="宋体" w:hAnsi="宋体" w:cs="宋体" w:eastAsia="宋体" w:hint="eastAsia"/>
                <w:sz w:val="30"/>
                <w:szCs w:val="30"/>
              </w:rPr>
              <w:suppressLineNumbers w:val="0"/>
            </w:pPr>
            <w:r>
              <w:rPr>
                <w:rFonts w:ascii="宋体" w:hAnsi="宋体" w:cs="宋体" w:eastAsia="宋体" w:hint="eastAsia"/>
                <w:sz w:val="30"/>
                <w:szCs w:val="30"/>
              </w:rPr>
              <w:t xml:space="preserve">发动机号：</w:t>
            </w:r>
            <w:r>
              <w:rPr>
                <w:rFonts w:ascii="宋体" w:hAnsi="宋体" w:cs="宋体" w:eastAsia="宋体" w:hint="eastAsia"/>
                <w:sz w:val="30"/>
                <w:szCs w:val="30"/>
              </w:rPr>
              <w:t xml:space="preserve">15071410023306PS</w:t>
            </w:r>
            <w:r/>
          </w:p>
          <w:p>
            <w:pPr>
              <w:pStyle w:val="836"/>
              <w:contextualSpacing w:val="false"/>
              <w:ind w:left="0" w:firstLine="0"/>
              <w:jc w:val="left"/>
              <w:spacing w:lineRule="auto" w:line="360"/>
              <w:shd w:val="clear" w:color="FFFFFF" w:fill="FFFFFF" w:themeFill="background1" w:themeColor="background1"/>
              <w:rPr>
                <w:rFonts w:ascii="宋体" w:hAnsi="宋体" w:cs="宋体" w:eastAsia="宋体" w:hint="eastAsia"/>
                <w:sz w:val="30"/>
                <w:szCs w:val="30"/>
                <w:vertAlign w:val="baseline"/>
              </w:rPr>
              <w:suppressLineNumbers w:val="0"/>
            </w:pPr>
            <w:r>
              <w:rPr>
                <w:rFonts w:ascii="宋体" w:hAnsi="宋体" w:cs="宋体" w:eastAsia="宋体" w:hint="eastAsia"/>
                <w:sz w:val="30"/>
                <w:szCs w:val="30"/>
              </w:rPr>
              <w:t xml:space="preserve">登记日期：2015年12月10日</w:t>
            </w:r>
            <w:r>
              <w:rPr>
                <w:rFonts w:ascii="宋体" w:hAnsi="宋体" w:cs="宋体" w:eastAsia="宋体" w:hint="eastAsia"/>
                <w:sz w:val="30"/>
                <w:szCs w:val="30"/>
              </w:rPr>
              <w:t xml:space="preserve">                           </w:t>
            </w:r>
            <w:r/>
          </w:p>
        </w:tc>
        <w:tc>
          <w:tcPr>
            <w:tcW w:w="5684" w:type="dxa"/>
            <w:vAlign w:val="top"/>
            <w:textDirection w:val="lrTb"/>
            <w:noWrap w:val="false"/>
          </w:tcPr>
          <w:p>
            <w:pPr>
              <w:pStyle w:val="997"/>
              <w:ind w:firstLine="641"/>
              <w:tabs>
                <w:tab w:val="left" w:pos="3543" w:leader="none"/>
              </w:tabs>
              <w:rPr>
                <w:rFonts w:ascii="宋体" w:eastAsia="宋体"/>
                <w:b w:val="false"/>
                <w:i w:val="false"/>
                <w:caps w:val="false"/>
                <w:color w:val="333333"/>
                <w:spacing w:val="0"/>
                <w:sz w:val="30"/>
                <w:szCs w:val="32"/>
                <w:highlight w:val="none"/>
                <w:u w:val="none"/>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                </w:t>
            </w:r>
            <w:r>
              <w:rPr>
                <w:rFonts w:ascii="宋体" w:eastAsia="宋体"/>
                <w:b w:val="false"/>
                <w:i w:val="false"/>
                <w:caps w:val="false"/>
                <w:color w:val="333333"/>
                <w:spacing w:val="0"/>
                <w:sz w:val="30"/>
                <w:szCs w:val="32"/>
                <w:u w:val="none"/>
                <w:shd w:val="clear" w:color="FFFFFF" w:fill="FFFFFF"/>
                <w:lang w:val="en-US" w:bidi="ar" w:eastAsia="zh-CN"/>
              </w:rPr>
            </w:r>
            <w:r>
              <w:rPr>
                <w:rFonts w:ascii="宋体" w:eastAsia="宋体"/>
                <w:b w:val="false"/>
                <w:i w:val="false"/>
                <w:caps w:val="false"/>
                <w:color w:val="333333"/>
                <w:spacing w:val="0"/>
                <w:sz w:val="30"/>
                <w:szCs w:val="32"/>
                <w:u w:val="none"/>
                <w:shd w:val="clear" w:color="FFFFFF" w:fill="FFFFFF"/>
                <w:lang w:val="en-US" w:bidi="ar" w:eastAsia="zh-CN"/>
              </w:rPr>
              <w:t xml:space="preserve">               </w:t>
            </w:r>
            <w:r>
              <w:rPr>
                <w:rFonts w:ascii="宋体" w:eastAsia="宋体"/>
                <w:b w:val="false"/>
                <w:i w:val="false"/>
                <w:caps w:val="false"/>
                <w:color w:val="333333"/>
                <w:spacing w:val="0"/>
                <w:sz w:val="30"/>
                <w:szCs w:val="32"/>
                <w:highlight w:val="none"/>
                <w:u w:val="none"/>
                <w:shd w:val="clear" w:color="FFFFFF" w:fill="FFFFFF"/>
                <w:lang w:val="en-US" w:bidi="ar" w:eastAsia="zh-CN"/>
              </w:rPr>
            </w:r>
            <w:r>
              <w:rPr>
                <w:rFonts w:ascii="宋体" w:eastAsia="宋体"/>
                <w:b w:val="false"/>
                <w:i w:val="false"/>
                <w:caps w:val="false"/>
                <w:color w:val="333333"/>
                <w:spacing w:val="0"/>
                <w:sz w:val="30"/>
                <w:szCs w:val="32"/>
                <w:highlight w:val="none"/>
                <w:u w:val="none"/>
                <w:shd w:val="clear" w:color="FFFFFF" w:fill="FFFFFF"/>
                <w:lang w:val="en-US" w:bidi="ar" w:eastAsia="zh-CN"/>
              </w:rPr>
            </w:r>
          </w:p>
        </w:tc>
      </w:tr>
      <w:tr>
        <w:trPr>
          <w:jc w:val="center"/>
          <w:trHeight w:val="684"/>
        </w:trPr>
        <w:tc>
          <w:tcPr>
            <w:tcW w:w="9888"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r>
            <w:r/>
          </w:p>
        </w:tc>
        <w:tc>
          <w:tcPr>
            <w:tcW w:w="5684" w:type="dxa"/>
            <w:vAlign w:val="top"/>
            <w:textDirection w:val="lrTb"/>
            <w:noWrap w:val="false"/>
          </w:tcPr>
          <w:p>
            <w:pPr>
              <w:jc w:val="left"/>
              <w:keepLines w:val="false"/>
              <w:keepNext w:val="false"/>
              <w:shd w:val="clear" w:fill="auto" w:color="auto"/>
              <w:widowControl/>
              <w:tabs>
                <w:tab w:val="left" w:pos="3543" w:leader="none"/>
              </w:tabs>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p>
        </w:tc>
        <w:tc>
          <w:tcPr>
            <w:tcW w:w="1939"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r>
            <w:r/>
          </w:p>
        </w:tc>
        <w:tc>
          <w:tcPr>
            <w:tcW w:w="3641" w:type="dxa"/>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p>
        </w:tc>
      </w:tr>
      <w:tr>
        <w:trPr>
          <w:jc w:val="center"/>
          <w:trHeight w:val="684"/>
        </w:trPr>
        <w:tc>
          <w:tcPr>
            <w:tcW w:w="9888"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r>
            <w:r/>
          </w:p>
        </w:tc>
        <w:tc>
          <w:tcPr>
            <w:tcW w:w="5684" w:type="dxa"/>
            <w:vAlign w:val="top"/>
            <w:textDirection w:val="lrTb"/>
            <w:noWrap w:val="false"/>
          </w:tcPr>
          <w:p>
            <w:pPr>
              <w:jc w:val="left"/>
              <w:keepLines w:val="false"/>
              <w:keepNext w:val="false"/>
              <w:shd w:val="clear" w:fill="auto" w:color="auto"/>
              <w:widowControl/>
              <w:tabs>
                <w:tab w:val="left" w:pos="3543" w:leader="none"/>
              </w:tabs>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p>
        </w:tc>
        <w:tc>
          <w:tcPr>
            <w:tcW w:w="1939" w:type="dxa"/>
            <w:vAlign w:val="top"/>
            <w:textDirection w:val="lrTb"/>
            <w:noWrap w:val="false"/>
          </w:tcPr>
          <w:p>
            <w:pPr>
              <w:jc w:val="left"/>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lang w:eastAsia="zh-CN"/>
              </w:rPr>
            </w:pPr>
            <w:r>
              <w:rPr>
                <w:rFonts w:ascii="宋体" w:hAnsi="宋体" w:cs="宋体" w:eastAsia="宋体" w:hint="eastAsia"/>
                <w:sz w:val="30"/>
                <w:szCs w:val="30"/>
                <w:lang w:eastAsia="zh-CN"/>
              </w:rPr>
            </w:r>
            <w:r/>
          </w:p>
        </w:tc>
        <w:tc>
          <w:tcPr>
            <w:tcW w:w="3641" w:type="dxa"/>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p>
        </w:tc>
      </w:tr>
      <w:tr>
        <w:trPr>
          <w:jc w:val="center"/>
          <w:trHeight w:val="684"/>
        </w:trPr>
        <w:tc>
          <w:tcPr>
            <w:tcW w:w="9888"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r>
            <w:r/>
          </w:p>
        </w:tc>
        <w:tc>
          <w:tcPr>
            <w:tcW w:w="5684" w:type="dxa"/>
            <w:vAlign w:val="top"/>
            <w:textDirection w:val="lrTb"/>
            <w:noWrap w:val="false"/>
          </w:tcPr>
          <w:p>
            <w:pPr>
              <w:jc w:val="left"/>
              <w:keepLines w:val="false"/>
              <w:keepNext w:val="false"/>
              <w:shd w:val="clear" w:fill="auto" w:color="auto"/>
              <w:widowControl/>
              <w:tabs>
                <w:tab w:val="left" w:pos="3543" w:leader="none"/>
              </w:tabs>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p>
        </w:tc>
        <w:tc>
          <w:tcPr>
            <w:tcW w:w="1939"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r>
            <w:r/>
          </w:p>
        </w:tc>
        <w:tc>
          <w:tcPr>
            <w:tcW w:w="3641" w:type="dxa"/>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p>
        </w:tc>
      </w:tr>
      <w:tr>
        <w:trPr>
          <w:jc w:val="center"/>
          <w:trHeight w:val="684"/>
        </w:trPr>
        <w:tc>
          <w:tcPr>
            <w:tcW w:w="9888"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r>
            <w:r/>
          </w:p>
        </w:tc>
        <w:tc>
          <w:tcPr>
            <w:tcW w:w="5684" w:type="dxa"/>
            <w:vAlign w:val="top"/>
            <w:textDirection w:val="lrTb"/>
            <w:noWrap w:val="false"/>
          </w:tcPr>
          <w:p>
            <w:pPr>
              <w:jc w:val="left"/>
              <w:keepLines w:val="false"/>
              <w:keepNext w:val="false"/>
              <w:shd w:val="clear" w:fill="auto" w:color="auto"/>
              <w:widowControl/>
              <w:tabs>
                <w:tab w:val="left" w:pos="3543" w:leader="none"/>
              </w:tabs>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p>
        </w:tc>
        <w:tc>
          <w:tcPr>
            <w:tcW w:w="1939" w:type="dxa"/>
            <w:vAlign w:val="top"/>
            <w:textDirection w:val="lrTb"/>
            <w:noWrap w:val="false"/>
          </w:tcPr>
          <w:p>
            <w:pPr>
              <w:ind w:left="0" w:right="-3550" w:firstLine="0"/>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r>
            <w:r/>
          </w:p>
        </w:tc>
        <w:tc>
          <w:tcPr>
            <w:tcW w:w="3641" w:type="dxa"/>
            <w:vAlign w:val="top"/>
            <w:textDirection w:val="lrTb"/>
            <w:noWrap w:val="false"/>
          </w:tcPr>
          <w:p>
            <w:pPr>
              <w:jc w:val="left"/>
              <w:keepLines w:val="false"/>
              <w:keepNext w:val="false"/>
              <w:shd w:val="clear" w:fill="auto" w:color="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p>
        </w:tc>
      </w:tr>
    </w:tbl>
    <w:p>
      <w:pPr>
        <w:pStyle w:val="997"/>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highlight w:val="none"/>
        </w:rPr>
      </w:pPr>
      <w:r>
        <w:rPr>
          <w:rFonts w:ascii="黑体" w:hAnsi="黑体" w:cs="黑体" w:eastAsia="黑体"/>
          <w:sz w:val="32"/>
          <w:szCs w:val="32"/>
          <w:highlight w:val="none"/>
        </w:rPr>
      </w:r>
      <w:r>
        <w:rPr>
          <w:rFonts w:ascii="黑体" w:hAnsi="黑体" w:cs="黑体" w:eastAsia="黑体"/>
          <w:sz w:val="32"/>
          <w:szCs w:val="32"/>
          <w:highlight w:val="none"/>
        </w:rPr>
      </w:r>
    </w:p>
    <w:p>
      <w:pPr>
        <w:pStyle w:val="997"/>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highlight w:val="none"/>
        </w:rPr>
      </w:pPr>
      <w:r>
        <w:rPr>
          <w:rFonts w:ascii="黑体" w:hAnsi="黑体" w:cs="黑体" w:eastAsia="黑体"/>
          <w:sz w:val="32"/>
          <w:szCs w:val="32"/>
          <w:highlight w:val="none"/>
        </w:rPr>
      </w:r>
      <w:r>
        <w:rPr>
          <w:rFonts w:ascii="黑体" w:hAnsi="黑体" w:cs="黑体" w:eastAsia="黑体"/>
          <w:sz w:val="32"/>
          <w:szCs w:val="32"/>
          <w:highlight w:val="none"/>
        </w:rPr>
      </w:r>
    </w:p>
    <w:p>
      <w:pPr>
        <w:pStyle w:val="997"/>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highlight w:val="none"/>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为评估对象的停运损失提供参考依据</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2024年10月10日</w:t>
      </w:r>
      <w:r/>
    </w:p>
    <w:p>
      <w:pPr>
        <w:jc w:val="left"/>
        <w:keepLines w:val="false"/>
        <w:keepNext w:val="false"/>
        <w:pageBreakBefore w:val="false"/>
        <w:spacing w:lineRule="auto" w:line="360" w:afterAutospacing="0"/>
        <w:shd w:val="clear" w:fill="auto" w:color="auto"/>
        <w:rPr>
          <w:rFonts w:ascii="Times New Roman" w:hAnsi="Times New Roman" w:eastAsia="宋体"/>
          <w:sz w:val="30"/>
          <w:szCs w:val="30"/>
        </w:rPr>
      </w:pPr>
      <w:r/>
      <w:bookmarkStart w:id="1" w:name="_GoBack"/>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fill="auto" w:color="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fill="auto" w:color="auto"/>
        <w:widowControl/>
        <w:rPr>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1、《涉案财物价格鉴证操作规程》；</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fill="auto" w:color="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1、《二手车鉴定评估技术规范》 ；</w:t>
      </w:r>
      <w:r>
        <w:rPr>
          <w:rFonts w:ascii="宋体" w:eastAsia="宋体"/>
          <w:sz w:val="30"/>
        </w:rPr>
        <w:br/>
        <w:t xml:space="preserve">2、其他相关国家/行业标准、技术规范等。</w:t>
      </w:r>
      <w:r/>
    </w:p>
    <w:p>
      <w:pPr>
        <w:numPr>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1、天津市西青区人民法院委托书（(2024)津0114诉前鉴第1124号）；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1、车辆营运状况合同。</w:t>
      </w:r>
      <w:bookmarkEnd w:id="1"/>
      <w:r/>
      <w:r/>
    </w:p>
    <w:p>
      <w:pPr>
        <w:pStyle w:val="997"/>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997"/>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鉴定评估方法</w:t>
      </w:r>
      <w:r>
        <w:rPr>
          <w:rFonts w:ascii="黑体" w:hAnsi="黑体" w:cs="黑体" w:eastAsia="黑体"/>
          <w:sz w:val="32"/>
          <w:szCs w:val="32"/>
        </w:rPr>
      </w:r>
      <w:r/>
    </w:p>
    <w:p>
      <w:pPr>
        <w:jc w:val="left"/>
        <w:keepLines w:val="false"/>
        <w:keepNext w:val="false"/>
        <w:shd w:val="clear" w:fill="auto" w:color="auto"/>
        <w:widowControl/>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 重置成本法 ☑ 现行市价法 ☑ 收益现值法 □ 成本加和法 □ 清算价格法 </w:t>
      </w:r>
      <w:r/>
    </w:p>
    <w:p>
      <w:pPr>
        <w:jc w:val="left"/>
        <w:keepLines w:val="false"/>
        <w:keepNext w:val="false"/>
        <w:shd w:val="clear" w:fill="auto" w:color="auto"/>
        <w:widowControl/>
        <w:rPr>
          <w:rFonts w:ascii="宋体" w:hAnsi="宋体" w:cs="宋体" w:eastAsia="宋体" w:hint="default"/>
          <w:sz w:val="30"/>
          <w:szCs w:val="30"/>
          <w:u w:val="single"/>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997"/>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fill="auto" w:color="auto"/>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接到委托后已及时受理该任务；</w:t>
      </w:r>
      <w:r>
        <w:rPr>
          <w:rFonts w:ascii="宋体" w:eastAsia="宋体"/>
          <w:sz w:val="30"/>
        </w:rPr>
        <w:br/>
        <w:t xml:space="preserve">获取该车辆品牌型号的相关车辆信息后，进行市场调研相同或类似车型的市场租赁价格，获取调研结果后，结合已质证的租赁合同，经过综合考量后确认该车的日租赁价格，并撰写本报告书；</w:t>
      </w:r>
      <w:r>
        <w:rPr>
          <w:rFonts w:ascii="宋体" w:eastAsia="宋体"/>
          <w:sz w:val="30"/>
        </w:rPr>
        <w:br/>
        <w:t xml:space="preserve">该车辆的日停运损失金额为人民币1000元，大写人民币：壹仟元整。</w:t>
      </w:r>
      <w:r/>
    </w:p>
    <w:p>
      <w:pPr>
        <w:pStyle w:val="997"/>
        <w:numPr>
          <w:ilvl w:val="0"/>
          <w:numId w:val="1"/>
        </w:numPr>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jc w:val="left"/>
        <w:keepLines w:val="false"/>
        <w:keepNext w:val="false"/>
        <w:shd w:val="clear" w:fill="auto" w:color="auto"/>
        <w:widowControl/>
        <w:rPr>
          <w:rFonts w:ascii="黑体" w:hAnsi="黑体" w:cs="黑体" w:eastAsia="黑体"/>
          <w:sz w:val="30"/>
          <w:szCs w:val="30"/>
          <w:lang w:bidi="ar"/>
        </w:rPr>
        <w:suppressLineNumbers w:val="0"/>
      </w:pPr>
      <w:r>
        <w:rPr>
          <w:rFonts w:ascii="宋体" w:hAnsi="宋体" w:cs="宋体" w:eastAsia="宋体" w:hint="eastAsia"/>
          <w:sz w:val="30"/>
          <w:szCs w:val="30"/>
          <w:lang w:val="en-US" w:bidi="ar-SA" w:eastAsia="zh-CN"/>
        </w:rPr>
        <w:t xml:space="preserve">评估人员根据鉴定评估目的，遵循鉴定评估原则，依照鉴定评估程序，结合委托方提供的相关资料及评估对象从事的相关业务等情况，经客观分析及估算，</w:t>
      </w:r>
      <w:r>
        <w:rPr>
          <w:rFonts w:ascii="仿宋" w:eastAsia="仿宋"/>
          <w:b/>
          <w:i w:val="false"/>
          <w:caps w:val="false"/>
          <w:color w:val="FF0000"/>
          <w:spacing w:val="0"/>
          <w:sz w:val="30"/>
          <w:szCs w:val="32"/>
          <w:u w:val="none"/>
          <w:shd w:val="nil" w:fill="auto" w:color="auto"/>
          <w:lang w:val="en-US" w:bidi="ar" w:eastAsia="zh-CN"/>
        </w:rPr>
        <w:t xml:space="preserve">日停运损失为人民币：1000元</w:t>
      </w:r>
      <w:r>
        <w:rPr>
          <w:rFonts w:ascii="宋体" w:hAnsi="宋体" w:cs="宋体" w:eastAsia="宋体" w:hint="eastAsia"/>
          <w:b/>
          <w:color w:val="FF0000"/>
          <w:sz w:val="30"/>
          <w:szCs w:val="30"/>
          <w:lang w:val="en-US" w:bidi="ar-SA" w:eastAsia="zh-CN"/>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壹仟元整</w:t>
      </w:r>
      <w:r>
        <w:rPr>
          <w:rFonts w:ascii="宋体" w:hAnsi="宋体" w:cs="宋体" w:eastAsia="宋体" w:hint="eastAsia"/>
          <w:b/>
          <w:color w:val="FF0000"/>
          <w:sz w:val="30"/>
          <w:szCs w:val="30"/>
          <w:lang w:val="en-US" w:bidi="ar-SA" w:eastAsia="zh-CN"/>
        </w:rPr>
        <w:t xml:space="preserve">)。</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rPr>
          <w:rFonts w:ascii="宋体" w:hAnsi="宋体" w:cs="宋体" w:eastAsia="宋体" w:hint="eastAsia"/>
          <w:color w:val="454343"/>
          <w:sz w:val="30"/>
          <w:szCs w:val="30"/>
          <w:lang w:bidi="ar"/>
        </w:rPr>
      </w:r>
      <w:r>
        <w:rPr>
          <w:rFonts w:ascii="宋体" w:eastAsia="宋体"/>
          <w:sz w:val="30"/>
        </w:rPr>
        <w:t xml:space="preserve">。</w:t>
      </w:r>
      <w:r/>
      <w:r>
        <w:rPr>
          <w:rFonts w:ascii="宋体" w:hAnsi="宋体" w:cs="宋体" w:eastAsia="宋体" w:hint="eastAsia"/>
          <w:color w:val="454343"/>
          <w:sz w:val="30"/>
          <w:szCs w:val="30"/>
          <w:lang w:bidi="ar"/>
        </w:rPr>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2026年01月12日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auto" w:color="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fill="auto" w:color="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fill="auto" w:color="auto"/>
        <w:widowControl/>
        <w:suppressLineNumbers w:val="0"/>
      </w:pPr>
      <w:r>
        <w:rPr>
          <w:rFonts w:ascii="宋体" w:hAnsi="宋体" w:cs="宋体" w:eastAsia="宋体" w:hint="eastAsia"/>
          <w:sz w:val="30"/>
          <w:szCs w:val="30"/>
          <w:highlight w:val="none"/>
          <w:lang w:val="en-US" w:eastAsia="zh-CN"/>
        </w:rPr>
      </w:r>
      <w:r>
        <w:rPr>
          <w:rFonts w:ascii="宋体" w:hAnsi="宋体" w:cs="宋体" w:eastAsia="宋体" w:hint="eastAsia"/>
          <w:sz w:val="30"/>
          <w:szCs w:val="30"/>
          <w:highlight w:val="none"/>
          <w:lang w:val="en-US" w:eastAsia="zh-CN"/>
        </w:rPr>
      </w:r>
    </w:p>
    <w:p>
      <w:pPr>
        <w:jc w:val="left"/>
        <w:keepLines w:val="false"/>
        <w:keepNext w:val="false"/>
        <w:shd w:val="clear" w:fill="auto" w:color="auto"/>
        <w:widowControl/>
        <w:rPr>
          <w:rFonts w:ascii="宋体" w:hAnsi="宋体" w:cs="宋体" w:eastAsia="宋体" w:hint="eastAsia"/>
          <w:sz w:val="30"/>
          <w:szCs w:val="30"/>
          <w:highlight w:val="none"/>
          <w:lang w:val="en-US" w:eastAsia="zh-CN"/>
        </w:rPr>
        <w:suppressLineNumbers w:val="0"/>
      </w:pPr>
      <w:r>
        <w:rPr>
          <w:rFonts w:ascii="宋体" w:hAnsi="宋体" w:cs="宋体" w:eastAsia="宋体" w:hint="eastAsia"/>
          <w:sz w:val="30"/>
          <w:szCs w:val="30"/>
        </w:rPr>
        <w:t xml:space="preserve">鉴定评估人员：(签章)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复核人：（签章）</w:t>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7"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fill="auto" w:color="auto"/>
        <w:widowControl/>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2025年01月13日</w:t>
      </w:r>
      <w:r/>
    </w:p>
    <w:p>
      <w:pPr>
        <w:shd w:val="clear" w:fill="auto" w:color="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905"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微软雅黑">
    <w:panose1 w:val="020B0503020204020204"/>
  </w:font>
  <w:font w:name="Calibri">
    <w:panose1 w:val="020B0503020204020204"/>
  </w:font>
  <w:font w:name="Arial">
    <w:panose1 w:val="020B0604020202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4"/>
      <w:ind w:right="360"/>
      <w:tabs>
        <w:tab w:val="clear" w:pos="4153" w:leader="none"/>
        <w:tab w:val="center" w:pos="4873" w:leader="none"/>
        <w:tab w:val="clear" w:pos="8306" w:leader="none"/>
      </w:tabs>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2"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1"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4"/>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7"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94"/>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94"/>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4"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5"/>
      <w:jc w:val="left"/>
      <w:tabs>
        <w:tab w:val="clear" w:pos="4153" w:leader="none"/>
        <w:tab w:val="left" w:pos="7007" w:leader="none"/>
        <w:tab w:val="clear" w:pos="8306" w:leader="none"/>
      </w:tabs>
    </w:pPr>
    <w:r/>
    <w:r>
      <w:tab/>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991"/>
    <w:next w:val="991"/>
    <w:uiPriority w:val="99"/>
    <w:unhideWhenUsed/>
    <w:pPr>
      <w:spacing w:after="0" w:afterAutospacing="0"/>
    </w:pPr>
  </w:style>
  <w:style w:type="paragraph" w:styleId="817">
    <w:name w:val="Heading 1"/>
    <w:basedOn w:val="991"/>
    <w:next w:val="991"/>
    <w:link w:val="818"/>
    <w:qFormat/>
    <w:uiPriority w:val="9"/>
    <w:rPr>
      <w:rFonts w:ascii="Arial" w:hAnsi="Arial" w:cs="Arial" w:eastAsia="Arial"/>
      <w:sz w:val="40"/>
      <w:szCs w:val="40"/>
    </w:rPr>
    <w:pPr>
      <w:keepLines/>
      <w:keepNext/>
      <w:spacing w:after="200" w:before="480"/>
      <w:outlineLvl w:val="0"/>
    </w:pPr>
  </w:style>
  <w:style w:type="character" w:styleId="818">
    <w:name w:val="Heading 1 Char"/>
    <w:basedOn w:val="992"/>
    <w:link w:val="817"/>
    <w:uiPriority w:val="9"/>
    <w:rPr>
      <w:rFonts w:ascii="Arial" w:hAnsi="Arial" w:cs="Arial" w:eastAsia="Arial"/>
      <w:sz w:val="40"/>
      <w:szCs w:val="40"/>
    </w:rPr>
  </w:style>
  <w:style w:type="paragraph" w:styleId="819">
    <w:name w:val="Heading 2"/>
    <w:basedOn w:val="991"/>
    <w:next w:val="991"/>
    <w:link w:val="820"/>
    <w:qFormat/>
    <w:uiPriority w:val="9"/>
    <w:unhideWhenUsed/>
    <w:rPr>
      <w:rFonts w:ascii="Arial" w:hAnsi="Arial" w:cs="Arial" w:eastAsia="Arial"/>
      <w:sz w:val="34"/>
    </w:rPr>
    <w:pPr>
      <w:keepLines/>
      <w:keepNext/>
      <w:spacing w:after="200" w:before="360"/>
      <w:outlineLvl w:val="1"/>
    </w:pPr>
  </w:style>
  <w:style w:type="character" w:styleId="820">
    <w:name w:val="Heading 2 Char"/>
    <w:basedOn w:val="992"/>
    <w:link w:val="819"/>
    <w:uiPriority w:val="9"/>
    <w:rPr>
      <w:rFonts w:ascii="Arial" w:hAnsi="Arial" w:cs="Arial" w:eastAsia="Arial"/>
      <w:sz w:val="34"/>
    </w:rPr>
  </w:style>
  <w:style w:type="paragraph" w:styleId="821">
    <w:name w:val="Heading 3"/>
    <w:basedOn w:val="991"/>
    <w:next w:val="991"/>
    <w:link w:val="822"/>
    <w:qFormat/>
    <w:uiPriority w:val="9"/>
    <w:unhideWhenUsed/>
    <w:rPr>
      <w:rFonts w:ascii="Arial" w:hAnsi="Arial" w:cs="Arial" w:eastAsia="Arial"/>
      <w:sz w:val="30"/>
      <w:szCs w:val="30"/>
    </w:rPr>
    <w:pPr>
      <w:keepLines/>
      <w:keepNext/>
      <w:spacing w:after="200" w:before="320"/>
      <w:outlineLvl w:val="2"/>
    </w:pPr>
  </w:style>
  <w:style w:type="character" w:styleId="822">
    <w:name w:val="Heading 3 Char"/>
    <w:basedOn w:val="992"/>
    <w:link w:val="821"/>
    <w:uiPriority w:val="9"/>
    <w:rPr>
      <w:rFonts w:ascii="Arial" w:hAnsi="Arial" w:cs="Arial" w:eastAsia="Arial"/>
      <w:sz w:val="30"/>
      <w:szCs w:val="30"/>
    </w:rPr>
  </w:style>
  <w:style w:type="paragraph" w:styleId="823">
    <w:name w:val="Heading 4"/>
    <w:basedOn w:val="991"/>
    <w:next w:val="991"/>
    <w:link w:val="824"/>
    <w:qFormat/>
    <w:uiPriority w:val="9"/>
    <w:unhideWhenUsed/>
    <w:rPr>
      <w:rFonts w:ascii="Arial" w:hAnsi="Arial" w:cs="Arial" w:eastAsia="Arial"/>
      <w:b/>
      <w:bCs/>
      <w:sz w:val="26"/>
      <w:szCs w:val="26"/>
    </w:rPr>
    <w:pPr>
      <w:keepLines/>
      <w:keepNext/>
      <w:spacing w:after="200" w:before="320"/>
      <w:outlineLvl w:val="3"/>
    </w:pPr>
  </w:style>
  <w:style w:type="character" w:styleId="824">
    <w:name w:val="Heading 4 Char"/>
    <w:basedOn w:val="992"/>
    <w:link w:val="823"/>
    <w:uiPriority w:val="9"/>
    <w:rPr>
      <w:rFonts w:ascii="Arial" w:hAnsi="Arial" w:cs="Arial" w:eastAsia="Arial"/>
      <w:b/>
      <w:bCs/>
      <w:sz w:val="26"/>
      <w:szCs w:val="26"/>
    </w:rPr>
  </w:style>
  <w:style w:type="paragraph" w:styleId="825">
    <w:name w:val="Heading 5"/>
    <w:basedOn w:val="991"/>
    <w:next w:val="991"/>
    <w:link w:val="826"/>
    <w:qFormat/>
    <w:uiPriority w:val="9"/>
    <w:unhideWhenUsed/>
    <w:rPr>
      <w:rFonts w:ascii="Arial" w:hAnsi="Arial" w:cs="Arial" w:eastAsia="Arial"/>
      <w:b/>
      <w:bCs/>
      <w:sz w:val="24"/>
      <w:szCs w:val="24"/>
    </w:rPr>
    <w:pPr>
      <w:keepLines/>
      <w:keepNext/>
      <w:spacing w:after="200" w:before="320"/>
      <w:outlineLvl w:val="4"/>
    </w:pPr>
  </w:style>
  <w:style w:type="character" w:styleId="826">
    <w:name w:val="Heading 5 Char"/>
    <w:basedOn w:val="992"/>
    <w:link w:val="825"/>
    <w:uiPriority w:val="9"/>
    <w:rPr>
      <w:rFonts w:ascii="Arial" w:hAnsi="Arial" w:cs="Arial" w:eastAsia="Arial"/>
      <w:b/>
      <w:bCs/>
      <w:sz w:val="24"/>
      <w:szCs w:val="24"/>
    </w:rPr>
  </w:style>
  <w:style w:type="paragraph" w:styleId="827">
    <w:name w:val="Heading 6"/>
    <w:basedOn w:val="991"/>
    <w:next w:val="991"/>
    <w:link w:val="828"/>
    <w:qFormat/>
    <w:uiPriority w:val="9"/>
    <w:unhideWhenUsed/>
    <w:rPr>
      <w:rFonts w:ascii="Arial" w:hAnsi="Arial" w:cs="Arial" w:eastAsia="Arial"/>
      <w:b/>
      <w:bCs/>
      <w:sz w:val="22"/>
      <w:szCs w:val="22"/>
    </w:rPr>
    <w:pPr>
      <w:keepLines/>
      <w:keepNext/>
      <w:spacing w:after="200" w:before="320"/>
      <w:outlineLvl w:val="5"/>
    </w:pPr>
  </w:style>
  <w:style w:type="character" w:styleId="828">
    <w:name w:val="Heading 6 Char"/>
    <w:basedOn w:val="992"/>
    <w:link w:val="827"/>
    <w:uiPriority w:val="9"/>
    <w:rPr>
      <w:rFonts w:ascii="Arial" w:hAnsi="Arial" w:cs="Arial" w:eastAsia="Arial"/>
      <w:b/>
      <w:bCs/>
      <w:sz w:val="22"/>
      <w:szCs w:val="22"/>
    </w:rPr>
  </w:style>
  <w:style w:type="paragraph" w:styleId="829">
    <w:name w:val="Heading 7"/>
    <w:basedOn w:val="991"/>
    <w:next w:val="991"/>
    <w:link w:val="830"/>
    <w:qFormat/>
    <w:uiPriority w:val="9"/>
    <w:unhideWhenUsed/>
    <w:rPr>
      <w:rFonts w:ascii="Arial" w:hAnsi="Arial" w:cs="Arial" w:eastAsia="Arial"/>
      <w:b/>
      <w:bCs/>
      <w:i/>
      <w:iCs/>
      <w:sz w:val="22"/>
      <w:szCs w:val="22"/>
    </w:rPr>
    <w:pPr>
      <w:keepLines/>
      <w:keepNext/>
      <w:spacing w:after="200" w:before="320"/>
      <w:outlineLvl w:val="6"/>
    </w:pPr>
  </w:style>
  <w:style w:type="character" w:styleId="830">
    <w:name w:val="Heading 7 Char"/>
    <w:basedOn w:val="992"/>
    <w:link w:val="829"/>
    <w:uiPriority w:val="9"/>
    <w:rPr>
      <w:rFonts w:ascii="Arial" w:hAnsi="Arial" w:cs="Arial" w:eastAsia="Arial"/>
      <w:b/>
      <w:bCs/>
      <w:i/>
      <w:iCs/>
      <w:sz w:val="22"/>
      <w:szCs w:val="22"/>
    </w:rPr>
  </w:style>
  <w:style w:type="paragraph" w:styleId="831">
    <w:name w:val="Heading 8"/>
    <w:basedOn w:val="991"/>
    <w:next w:val="991"/>
    <w:link w:val="832"/>
    <w:qFormat/>
    <w:uiPriority w:val="9"/>
    <w:unhideWhenUsed/>
    <w:rPr>
      <w:rFonts w:ascii="Arial" w:hAnsi="Arial" w:cs="Arial" w:eastAsia="Arial"/>
      <w:i/>
      <w:iCs/>
      <w:sz w:val="22"/>
      <w:szCs w:val="22"/>
    </w:rPr>
    <w:pPr>
      <w:keepLines/>
      <w:keepNext/>
      <w:spacing w:after="200" w:before="320"/>
      <w:outlineLvl w:val="7"/>
    </w:pPr>
  </w:style>
  <w:style w:type="character" w:styleId="832">
    <w:name w:val="Heading 8 Char"/>
    <w:basedOn w:val="992"/>
    <w:link w:val="831"/>
    <w:uiPriority w:val="9"/>
    <w:rPr>
      <w:rFonts w:ascii="Arial" w:hAnsi="Arial" w:cs="Arial" w:eastAsia="Arial"/>
      <w:i/>
      <w:iCs/>
      <w:sz w:val="22"/>
      <w:szCs w:val="22"/>
    </w:rPr>
  </w:style>
  <w:style w:type="paragraph" w:styleId="833">
    <w:name w:val="Heading 9"/>
    <w:basedOn w:val="991"/>
    <w:next w:val="991"/>
    <w:link w:val="834"/>
    <w:qFormat/>
    <w:uiPriority w:val="9"/>
    <w:unhideWhenUsed/>
    <w:rPr>
      <w:rFonts w:ascii="Arial" w:hAnsi="Arial" w:cs="Arial" w:eastAsia="Arial"/>
      <w:i/>
      <w:iCs/>
      <w:sz w:val="21"/>
      <w:szCs w:val="21"/>
    </w:rPr>
    <w:pPr>
      <w:keepLines/>
      <w:keepNext/>
      <w:spacing w:after="200" w:before="320"/>
      <w:outlineLvl w:val="8"/>
    </w:pPr>
  </w:style>
  <w:style w:type="character" w:styleId="834">
    <w:name w:val="Heading 9 Char"/>
    <w:basedOn w:val="992"/>
    <w:link w:val="833"/>
    <w:uiPriority w:val="9"/>
    <w:rPr>
      <w:rFonts w:ascii="Arial" w:hAnsi="Arial" w:cs="Arial" w:eastAsia="Arial"/>
      <w:i/>
      <w:iCs/>
      <w:sz w:val="21"/>
      <w:szCs w:val="21"/>
    </w:rPr>
  </w:style>
  <w:style w:type="paragraph" w:styleId="835">
    <w:name w:val="List Paragraph"/>
    <w:basedOn w:val="991"/>
    <w:qFormat/>
    <w:uiPriority w:val="34"/>
    <w:pPr>
      <w:contextualSpacing w:val="true"/>
      <w:ind w:left="720"/>
    </w:pPr>
  </w:style>
  <w:style w:type="paragraph" w:styleId="836">
    <w:name w:val="No Spacing"/>
    <w:qFormat/>
    <w:uiPriority w:val="1"/>
    <w:pPr>
      <w:spacing w:lineRule="auto" w:line="240" w:after="0" w:before="0"/>
    </w:pPr>
  </w:style>
  <w:style w:type="paragraph" w:styleId="837">
    <w:name w:val="Title"/>
    <w:basedOn w:val="991"/>
    <w:next w:val="991"/>
    <w:link w:val="838"/>
    <w:qFormat/>
    <w:uiPriority w:val="10"/>
    <w:rPr>
      <w:sz w:val="48"/>
      <w:szCs w:val="48"/>
    </w:rPr>
    <w:pPr>
      <w:contextualSpacing w:val="true"/>
      <w:spacing w:after="200" w:before="300"/>
    </w:pPr>
  </w:style>
  <w:style w:type="character" w:styleId="838">
    <w:name w:val="Title Char"/>
    <w:basedOn w:val="992"/>
    <w:link w:val="837"/>
    <w:uiPriority w:val="10"/>
    <w:rPr>
      <w:sz w:val="48"/>
      <w:szCs w:val="48"/>
    </w:rPr>
  </w:style>
  <w:style w:type="paragraph" w:styleId="839">
    <w:name w:val="Subtitle"/>
    <w:basedOn w:val="991"/>
    <w:next w:val="991"/>
    <w:link w:val="840"/>
    <w:qFormat/>
    <w:uiPriority w:val="11"/>
    <w:rPr>
      <w:sz w:val="24"/>
      <w:szCs w:val="24"/>
    </w:rPr>
    <w:pPr>
      <w:spacing w:after="200" w:before="200"/>
    </w:pPr>
  </w:style>
  <w:style w:type="character" w:styleId="840">
    <w:name w:val="Subtitle Char"/>
    <w:basedOn w:val="992"/>
    <w:link w:val="839"/>
    <w:uiPriority w:val="11"/>
    <w:rPr>
      <w:sz w:val="24"/>
      <w:szCs w:val="24"/>
    </w:rPr>
  </w:style>
  <w:style w:type="paragraph" w:styleId="841">
    <w:name w:val="Quote"/>
    <w:basedOn w:val="991"/>
    <w:next w:val="991"/>
    <w:link w:val="842"/>
    <w:qFormat/>
    <w:uiPriority w:val="29"/>
    <w:rPr>
      <w:i/>
    </w:rPr>
    <w:pPr>
      <w:ind w:left="720" w:right="720"/>
    </w:pPr>
  </w:style>
  <w:style w:type="character" w:styleId="842">
    <w:name w:val="Quote Char"/>
    <w:link w:val="841"/>
    <w:uiPriority w:val="29"/>
    <w:rPr>
      <w:i/>
    </w:rPr>
  </w:style>
  <w:style w:type="paragraph" w:styleId="843">
    <w:name w:val="Intense Quote"/>
    <w:basedOn w:val="991"/>
    <w:next w:val="991"/>
    <w:link w:val="844"/>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44">
    <w:name w:val="Intense Quote Char"/>
    <w:link w:val="843"/>
    <w:uiPriority w:val="30"/>
    <w:rPr>
      <w:i/>
    </w:rPr>
  </w:style>
  <w:style w:type="character" w:styleId="845">
    <w:name w:val="Header Char"/>
    <w:basedOn w:val="992"/>
    <w:link w:val="995"/>
    <w:uiPriority w:val="99"/>
  </w:style>
  <w:style w:type="character" w:styleId="846">
    <w:name w:val="Footer Char"/>
    <w:basedOn w:val="992"/>
    <w:link w:val="994"/>
    <w:uiPriority w:val="99"/>
  </w:style>
  <w:style w:type="paragraph" w:styleId="847">
    <w:name w:val="Caption"/>
    <w:basedOn w:val="991"/>
    <w:next w:val="991"/>
    <w:qFormat/>
    <w:uiPriority w:val="35"/>
    <w:semiHidden/>
    <w:unhideWhenUsed/>
    <w:rPr>
      <w:b/>
      <w:bCs/>
      <w:color w:val="4F81BD" w:themeColor="accent1"/>
      <w:sz w:val="18"/>
      <w:szCs w:val="18"/>
    </w:rPr>
    <w:pPr>
      <w:spacing w:lineRule="auto" w:line="276"/>
    </w:pPr>
  </w:style>
  <w:style w:type="character" w:styleId="848">
    <w:name w:val="Caption Char"/>
    <w:basedOn w:val="847"/>
    <w:link w:val="994"/>
    <w:uiPriority w:val="99"/>
  </w:style>
  <w:style w:type="table" w:styleId="849">
    <w:name w:val="Table Grid Light"/>
    <w:basedOn w:val="99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50">
    <w:name w:val="Plain Table 1"/>
    <w:basedOn w:val="99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51">
    <w:name w:val="Plain Table 2"/>
    <w:basedOn w:val="993"/>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2">
    <w:name w:val="Plain Table 3"/>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53">
    <w:name w:val="Plain Table 4"/>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4">
    <w:name w:val="Plain Table 5"/>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55">
    <w:name w:val="Grid Table 1 Light"/>
    <w:basedOn w:val="993"/>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56">
    <w:name w:val="Grid Table 1 Light - Accent 1"/>
    <w:basedOn w:val="99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57">
    <w:name w:val="Grid Table 1 Light - Accent 2"/>
    <w:basedOn w:val="99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58">
    <w:name w:val="Grid Table 1 Light - Accent 3"/>
    <w:basedOn w:val="99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59">
    <w:name w:val="Grid Table 1 Light - Accent 4"/>
    <w:basedOn w:val="99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60">
    <w:name w:val="Grid Table 1 Light - Accent 5"/>
    <w:basedOn w:val="99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61">
    <w:name w:val="Grid Table 1 Light - Accent 6"/>
    <w:basedOn w:val="99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62">
    <w:name w:val="Grid Table 2"/>
    <w:basedOn w:val="99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63">
    <w:name w:val="Grid Table 2 - Accent 1"/>
    <w:basedOn w:val="99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64">
    <w:name w:val="Grid Table 2 - Accent 2"/>
    <w:basedOn w:val="99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65">
    <w:name w:val="Grid Table 2 - Accent 3"/>
    <w:basedOn w:val="99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66">
    <w:name w:val="Grid Table 2 - Accent 4"/>
    <w:basedOn w:val="99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67">
    <w:name w:val="Grid Table 2 - Accent 5"/>
    <w:basedOn w:val="99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68">
    <w:name w:val="Grid Table 2 - Accent 6"/>
    <w:basedOn w:val="99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69">
    <w:name w:val="Grid Table 3"/>
    <w:basedOn w:val="99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0">
    <w:name w:val="Grid Table 3 - Accent 1"/>
    <w:basedOn w:val="99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1">
    <w:name w:val="Grid Table 3 - Accent 2"/>
    <w:basedOn w:val="99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2">
    <w:name w:val="Grid Table 3 - Accent 3"/>
    <w:basedOn w:val="99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3">
    <w:name w:val="Grid Table 3 - Accent 4"/>
    <w:basedOn w:val="99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4">
    <w:name w:val="Grid Table 3 - Accent 5"/>
    <w:basedOn w:val="99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5">
    <w:name w:val="Grid Table 3 - Accent 6"/>
    <w:basedOn w:val="99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6">
    <w:name w:val="Grid Table 4"/>
    <w:basedOn w:val="993"/>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77">
    <w:name w:val="Grid Table 4 - Accent 1"/>
    <w:basedOn w:val="993"/>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78">
    <w:name w:val="Grid Table 4 - Accent 2"/>
    <w:basedOn w:val="993"/>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79">
    <w:name w:val="Grid Table 4 - Accent 3"/>
    <w:basedOn w:val="99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80">
    <w:name w:val="Grid Table 4 - Accent 4"/>
    <w:basedOn w:val="993"/>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81">
    <w:name w:val="Grid Table 4 - Accent 5"/>
    <w:basedOn w:val="993"/>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82">
    <w:name w:val="Grid Table 4 - Accent 6"/>
    <w:basedOn w:val="993"/>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83">
    <w:name w:val="Grid Table 5 Dark"/>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4">
    <w:name w:val="Grid Table 5 Dark- Accent 1"/>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5">
    <w:name w:val="Grid Table 5 Dark - Accent 2"/>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6">
    <w:name w:val="Grid Table 5 Dark - Accent 3"/>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7">
    <w:name w:val="Grid Table 5 Dark- Accent 4"/>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8">
    <w:name w:val="Grid Table 5 Dark - Accent 5"/>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9">
    <w:name w:val="Grid Table 5 Dark - Accent 6"/>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0">
    <w:name w:val="Grid Table 6 Colorful"/>
    <w:basedOn w:val="993"/>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1">
    <w:name w:val="Grid Table 6 Colorful - Accent 1"/>
    <w:basedOn w:val="993"/>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892">
    <w:name w:val="Grid Table 6 Colorful - Accent 2"/>
    <w:basedOn w:val="99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93">
    <w:name w:val="Grid Table 6 Colorful - Accent 3"/>
    <w:basedOn w:val="99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94">
    <w:name w:val="Grid Table 6 Colorful - Accent 4"/>
    <w:basedOn w:val="99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95">
    <w:name w:val="Grid Table 6 Colorful - Accent 5"/>
    <w:basedOn w:val="993"/>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896">
    <w:name w:val="Grid Table 6 Colorful - Accent 6"/>
    <w:basedOn w:val="993"/>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897">
    <w:name w:val="Grid Table 7 Colorful"/>
    <w:basedOn w:val="993"/>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98">
    <w:name w:val="Grid Table 7 Colorful - Accent 1"/>
    <w:basedOn w:val="993"/>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99">
    <w:name w:val="Grid Table 7 Colorful - Accent 2"/>
    <w:basedOn w:val="993"/>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900">
    <w:name w:val="Grid Table 7 Colorful - Accent 3"/>
    <w:basedOn w:val="99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901">
    <w:name w:val="Grid Table 7 Colorful - Accent 4"/>
    <w:basedOn w:val="993"/>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902">
    <w:name w:val="Grid Table 7 Colorful - Accent 5"/>
    <w:basedOn w:val="993"/>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903">
    <w:name w:val="Grid Table 7 Colorful - Accent 6"/>
    <w:basedOn w:val="993"/>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904">
    <w:name w:val="List Table 1 Light"/>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05">
    <w:name w:val="List Table 1 Light - Accent 1"/>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906">
    <w:name w:val="List Table 1 Light - Accent 2"/>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907">
    <w:name w:val="List Table 1 Light - Accent 3"/>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908">
    <w:name w:val="List Table 1 Light - Accent 4"/>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909">
    <w:name w:val="List Table 1 Light - Accent 5"/>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910">
    <w:name w:val="List Table 1 Light - Accent 6"/>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11">
    <w:name w:val="List Table 2"/>
    <w:basedOn w:val="993"/>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12">
    <w:name w:val="List Table 2 - Accent 1"/>
    <w:basedOn w:val="993"/>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13">
    <w:name w:val="List Table 2 - Accent 2"/>
    <w:basedOn w:val="993"/>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14">
    <w:name w:val="List Table 2 - Accent 3"/>
    <w:basedOn w:val="99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15">
    <w:name w:val="List Table 2 - Accent 4"/>
    <w:basedOn w:val="993"/>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16">
    <w:name w:val="List Table 2 - Accent 5"/>
    <w:basedOn w:val="993"/>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17">
    <w:name w:val="List Table 2 - Accent 6"/>
    <w:basedOn w:val="993"/>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18">
    <w:name w:val="List Table 3"/>
    <w:basedOn w:val="99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3 - Accent 1"/>
    <w:basedOn w:val="993"/>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3 - Accent 2"/>
    <w:basedOn w:val="99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3 - Accent 3"/>
    <w:basedOn w:val="99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2">
    <w:name w:val="List Table 3 - Accent 4"/>
    <w:basedOn w:val="99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3">
    <w:name w:val="List Table 3 - Accent 5"/>
    <w:basedOn w:val="993"/>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4">
    <w:name w:val="List Table 3 - Accent 6"/>
    <w:basedOn w:val="993"/>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5">
    <w:name w:val="List Table 4"/>
    <w:basedOn w:val="99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6">
    <w:name w:val="List Table 4 - Accent 1"/>
    <w:basedOn w:val="993"/>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7">
    <w:name w:val="List Table 4 - Accent 2"/>
    <w:basedOn w:val="993"/>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8">
    <w:name w:val="List Table 4 - Accent 3"/>
    <w:basedOn w:val="99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9">
    <w:name w:val="List Table 4 - Accent 4"/>
    <w:basedOn w:val="993"/>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0">
    <w:name w:val="List Table 4 - Accent 5"/>
    <w:basedOn w:val="993"/>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1">
    <w:name w:val="List Table 4 - Accent 6"/>
    <w:basedOn w:val="993"/>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2">
    <w:name w:val="List Table 5 Dark"/>
    <w:basedOn w:val="993"/>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3">
    <w:name w:val="List Table 5 Dark - Accent 1"/>
    <w:basedOn w:val="993"/>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4">
    <w:name w:val="List Table 5 Dark - Accent 2"/>
    <w:basedOn w:val="993"/>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5">
    <w:name w:val="List Table 5 Dark - Accent 3"/>
    <w:basedOn w:val="99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6">
    <w:name w:val="List Table 5 Dark - Accent 4"/>
    <w:basedOn w:val="993"/>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7">
    <w:name w:val="List Table 5 Dark - Accent 5"/>
    <w:basedOn w:val="993"/>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8">
    <w:name w:val="List Table 5 Dark - Accent 6"/>
    <w:basedOn w:val="993"/>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9">
    <w:name w:val="List Table 6 Colorful"/>
    <w:basedOn w:val="993"/>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40">
    <w:name w:val="List Table 6 Colorful - Accent 1"/>
    <w:basedOn w:val="993"/>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941">
    <w:name w:val="List Table 6 Colorful - Accent 2"/>
    <w:basedOn w:val="993"/>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942">
    <w:name w:val="List Table 6 Colorful - Accent 3"/>
    <w:basedOn w:val="99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943">
    <w:name w:val="List Table 6 Colorful - Accent 4"/>
    <w:basedOn w:val="993"/>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944">
    <w:name w:val="List Table 6 Colorful - Accent 5"/>
    <w:basedOn w:val="993"/>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945">
    <w:name w:val="List Table 6 Colorful - Accent 6"/>
    <w:basedOn w:val="993"/>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946">
    <w:name w:val="List Table 7 Colorful"/>
    <w:basedOn w:val="993"/>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47">
    <w:name w:val="List Table 7 Colorful - Accent 1"/>
    <w:basedOn w:val="993"/>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948">
    <w:name w:val="List Table 7 Colorful - Accent 2"/>
    <w:basedOn w:val="993"/>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949">
    <w:name w:val="List Table 7 Colorful - Accent 3"/>
    <w:basedOn w:val="99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950">
    <w:name w:val="List Table 7 Colorful - Accent 4"/>
    <w:basedOn w:val="993"/>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951">
    <w:name w:val="List Table 7 Colorful - Accent 5"/>
    <w:basedOn w:val="993"/>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952">
    <w:name w:val="List Table 7 Colorful - Accent 6"/>
    <w:basedOn w:val="993"/>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953">
    <w:name w:val="Lined - Accent"/>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Lined - Accent 1"/>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Lined - Accent 2"/>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Lined - Accent 3"/>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7">
    <w:name w:val="Lined - Accent 4"/>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8">
    <w:name w:val="Lined - Accent 5"/>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9">
    <w:name w:val="Lined - Accent 6"/>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0">
    <w:name w:val="Bordered &amp; Lined - Accent"/>
    <w:basedOn w:val="993"/>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1">
    <w:name w:val="Bordered &amp; Lined - Accent 1"/>
    <w:basedOn w:val="993"/>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2">
    <w:name w:val="Bordered &amp; Lined - Accent 2"/>
    <w:basedOn w:val="993"/>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3">
    <w:name w:val="Bordered &amp; Lined - Accent 3"/>
    <w:basedOn w:val="99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4">
    <w:name w:val="Bordered &amp; Lined - Accent 4"/>
    <w:basedOn w:val="993"/>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5">
    <w:name w:val="Bordered &amp; Lined - Accent 5"/>
    <w:basedOn w:val="993"/>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6">
    <w:name w:val="Bordered &amp; Lined - Accent 6"/>
    <w:basedOn w:val="993"/>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7">
    <w:name w:val="Bordered"/>
    <w:basedOn w:val="993"/>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68">
    <w:name w:val="Bordered - Accent 1"/>
    <w:basedOn w:val="99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69">
    <w:name w:val="Bordered - Accent 2"/>
    <w:basedOn w:val="99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70">
    <w:name w:val="Bordered - Accent 3"/>
    <w:basedOn w:val="99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71">
    <w:name w:val="Bordered - Accent 4"/>
    <w:basedOn w:val="99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72">
    <w:name w:val="Bordered - Accent 5"/>
    <w:basedOn w:val="99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73">
    <w:name w:val="Bordered - Accent 6"/>
    <w:basedOn w:val="99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74">
    <w:name w:val="Hyperlink"/>
    <w:uiPriority w:val="99"/>
    <w:unhideWhenUsed/>
    <w:rPr>
      <w:color w:val="0000FF" w:themeColor="hyperlink"/>
      <w:u w:val="single"/>
    </w:rPr>
  </w:style>
  <w:style w:type="paragraph" w:styleId="975">
    <w:name w:val="footnote text"/>
    <w:basedOn w:val="991"/>
    <w:link w:val="976"/>
    <w:uiPriority w:val="99"/>
    <w:semiHidden/>
    <w:unhideWhenUsed/>
    <w:rPr>
      <w:sz w:val="18"/>
    </w:rPr>
    <w:pPr>
      <w:spacing w:lineRule="auto" w:line="240" w:after="40"/>
    </w:pPr>
  </w:style>
  <w:style w:type="character" w:styleId="976">
    <w:name w:val="Footnote Text Char"/>
    <w:link w:val="975"/>
    <w:uiPriority w:val="99"/>
    <w:rPr>
      <w:sz w:val="18"/>
    </w:rPr>
  </w:style>
  <w:style w:type="character" w:styleId="977">
    <w:name w:val="footnote reference"/>
    <w:basedOn w:val="992"/>
    <w:uiPriority w:val="99"/>
    <w:unhideWhenUsed/>
    <w:rPr>
      <w:vertAlign w:val="superscript"/>
    </w:rPr>
  </w:style>
  <w:style w:type="paragraph" w:styleId="978">
    <w:name w:val="endnote text"/>
    <w:basedOn w:val="991"/>
    <w:link w:val="979"/>
    <w:uiPriority w:val="99"/>
    <w:semiHidden/>
    <w:unhideWhenUsed/>
    <w:rPr>
      <w:sz w:val="20"/>
    </w:rPr>
    <w:pPr>
      <w:spacing w:lineRule="auto" w:line="240" w:after="0"/>
    </w:pPr>
  </w:style>
  <w:style w:type="character" w:styleId="979">
    <w:name w:val="Endnote Text Char"/>
    <w:link w:val="978"/>
    <w:uiPriority w:val="99"/>
    <w:rPr>
      <w:sz w:val="20"/>
    </w:rPr>
  </w:style>
  <w:style w:type="character" w:styleId="980">
    <w:name w:val="endnote reference"/>
    <w:basedOn w:val="992"/>
    <w:uiPriority w:val="99"/>
    <w:semiHidden/>
    <w:unhideWhenUsed/>
    <w:rPr>
      <w:vertAlign w:val="superscript"/>
    </w:rPr>
  </w:style>
  <w:style w:type="paragraph" w:styleId="981">
    <w:name w:val="toc 1"/>
    <w:basedOn w:val="991"/>
    <w:next w:val="991"/>
    <w:uiPriority w:val="39"/>
    <w:unhideWhenUsed/>
    <w:pPr>
      <w:ind w:left="0" w:right="0" w:firstLine="0"/>
      <w:spacing w:after="57"/>
    </w:pPr>
  </w:style>
  <w:style w:type="paragraph" w:styleId="982">
    <w:name w:val="toc 2"/>
    <w:basedOn w:val="991"/>
    <w:next w:val="991"/>
    <w:uiPriority w:val="39"/>
    <w:unhideWhenUsed/>
    <w:pPr>
      <w:ind w:left="283" w:right="0" w:firstLine="0"/>
      <w:spacing w:after="57"/>
    </w:pPr>
  </w:style>
  <w:style w:type="paragraph" w:styleId="983">
    <w:name w:val="toc 3"/>
    <w:basedOn w:val="991"/>
    <w:next w:val="991"/>
    <w:uiPriority w:val="39"/>
    <w:unhideWhenUsed/>
    <w:pPr>
      <w:ind w:left="567" w:right="0" w:firstLine="0"/>
      <w:spacing w:after="57"/>
    </w:pPr>
  </w:style>
  <w:style w:type="paragraph" w:styleId="984">
    <w:name w:val="toc 4"/>
    <w:basedOn w:val="991"/>
    <w:next w:val="991"/>
    <w:uiPriority w:val="39"/>
    <w:unhideWhenUsed/>
    <w:pPr>
      <w:ind w:left="850" w:right="0" w:firstLine="0"/>
      <w:spacing w:after="57"/>
    </w:pPr>
  </w:style>
  <w:style w:type="paragraph" w:styleId="985">
    <w:name w:val="toc 5"/>
    <w:basedOn w:val="991"/>
    <w:next w:val="991"/>
    <w:uiPriority w:val="39"/>
    <w:unhideWhenUsed/>
    <w:pPr>
      <w:ind w:left="1134" w:right="0" w:firstLine="0"/>
      <w:spacing w:after="57"/>
    </w:pPr>
  </w:style>
  <w:style w:type="paragraph" w:styleId="986">
    <w:name w:val="toc 6"/>
    <w:basedOn w:val="991"/>
    <w:next w:val="991"/>
    <w:uiPriority w:val="39"/>
    <w:unhideWhenUsed/>
    <w:pPr>
      <w:ind w:left="1417" w:right="0" w:firstLine="0"/>
      <w:spacing w:after="57"/>
    </w:pPr>
  </w:style>
  <w:style w:type="paragraph" w:styleId="987">
    <w:name w:val="toc 7"/>
    <w:basedOn w:val="991"/>
    <w:next w:val="991"/>
    <w:uiPriority w:val="39"/>
    <w:unhideWhenUsed/>
    <w:pPr>
      <w:ind w:left="1701" w:right="0" w:firstLine="0"/>
      <w:spacing w:after="57"/>
    </w:pPr>
  </w:style>
  <w:style w:type="paragraph" w:styleId="988">
    <w:name w:val="toc 8"/>
    <w:basedOn w:val="991"/>
    <w:next w:val="991"/>
    <w:uiPriority w:val="39"/>
    <w:unhideWhenUsed/>
    <w:pPr>
      <w:ind w:left="1984" w:right="0" w:firstLine="0"/>
      <w:spacing w:after="57"/>
    </w:pPr>
  </w:style>
  <w:style w:type="paragraph" w:styleId="989">
    <w:name w:val="toc 9"/>
    <w:basedOn w:val="991"/>
    <w:next w:val="991"/>
    <w:uiPriority w:val="39"/>
    <w:unhideWhenUsed/>
    <w:pPr>
      <w:ind w:left="2268" w:right="0" w:firstLine="0"/>
      <w:spacing w:after="57"/>
    </w:pPr>
  </w:style>
  <w:style w:type="paragraph" w:styleId="990">
    <w:name w:val="TOC Heading"/>
    <w:uiPriority w:val="39"/>
    <w:unhideWhenUsed/>
  </w:style>
  <w:style w:type="paragraph" w:styleId="991"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992" w:default="1">
    <w:name w:val="Default Paragraph Font"/>
    <w:qFormat/>
    <w:uiPriority w:val="1"/>
    <w:unhideWhenUsed/>
  </w:style>
  <w:style w:type="table" w:styleId="993" w:default="1">
    <w:name w:val="Normal Table"/>
    <w:qFormat/>
    <w:uiPriority w:val="99"/>
    <w:unhideWhenUsed/>
    <w:tblPr>
      <w:tblCellMar>
        <w:left w:w="108" w:type="dxa"/>
        <w:top w:w="0" w:type="dxa"/>
        <w:right w:w="108" w:type="dxa"/>
        <w:bottom w:w="0" w:type="dxa"/>
      </w:tblCellMar>
    </w:tblPr>
  </w:style>
  <w:style w:type="paragraph" w:styleId="994">
    <w:name w:val="Footer"/>
    <w:basedOn w:val="991"/>
    <w:link w:val="999"/>
    <w:qFormat/>
    <w:uiPriority w:val="99"/>
    <w:rPr>
      <w:rFonts w:ascii="等线" w:hAnsi="等线" w:cs="等线" w:eastAsia="等线"/>
      <w:sz w:val="18"/>
      <w:szCs w:val="18"/>
    </w:rPr>
    <w:pPr>
      <w:jc w:val="left"/>
      <w:tabs>
        <w:tab w:val="center" w:pos="4153" w:leader="none"/>
        <w:tab w:val="right" w:pos="8306" w:leader="none"/>
      </w:tabs>
    </w:pPr>
  </w:style>
  <w:style w:type="paragraph" w:styleId="995">
    <w:name w:val="Header"/>
    <w:basedOn w:val="99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996">
    <w:name w:val="HTML Preformatted"/>
    <w:basedOn w:val="991"/>
    <w:qFormat/>
    <w:uiPriority w:val="99"/>
    <w:unhideWhenUsed/>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97">
    <w:name w:val="Normal (Web)"/>
    <w:basedOn w:val="991"/>
    <w:qFormat/>
    <w:uiPriority w:val="0"/>
    <w:rPr>
      <w:sz w:val="24"/>
    </w:rPr>
    <w:pPr>
      <w:jc w:val="left"/>
      <w:spacing w:after="100" w:afterAutospacing="1" w:before="100" w:beforeAutospacing="1"/>
    </w:pPr>
  </w:style>
  <w:style w:type="table" w:styleId="998">
    <w:name w:val="Table Grid"/>
    <w:basedOn w:val="993"/>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9" w:customStyle="1">
    <w:name w:val="页脚 字符"/>
    <w:link w:val="994"/>
    <w:qFormat/>
    <w:uiPriority w:val="99"/>
    <w:rPr>
      <w:sz w:val="18"/>
      <w:szCs w:val="18"/>
    </w:rPr>
  </w:style>
  <w:style w:type="character" w:styleId="1000" w:customStyle="1">
    <w:name w:val="页脚 字符1"/>
    <w:basedOn w:val="992"/>
    <w:qFormat/>
    <w:uiPriority w:val="99"/>
    <w:semiHidden/>
    <w:rPr>
      <w:rFonts w:ascii="Calibri" w:hAnsi="Calibri" w:cs="Times New Roman" w:eastAsia="微软雅黑"/>
      <w:sz w:val="18"/>
      <w:szCs w:val="18"/>
    </w:rPr>
  </w:style>
  <w:style w:type="numbering" w:styleId="100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5</cp:revision>
  <dcterms:created xsi:type="dcterms:W3CDTF">2020-11-05T04:54:00Z</dcterms:created>
  <dcterms:modified xsi:type="dcterms:W3CDTF">2025-01-12T09:09:54Z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