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津C4Z529揽胜牌SALGA3VF小型越野客车车损评估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张连喜</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津C4Z529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津C4Z529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SALGA3VF3GA247729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张连喜</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津C4Z529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揽胜牌SALGA3VF</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SALGA3VF3GA247729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15071410023306PS</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2015年12月10日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1、天津市西青区人民法院委托书（(2024)津0111司技委字第420号）；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接到委托后先向申请人了解了损失情况，并约定鉴定评估的时间地点；</w:t>
      </w:r>
      <w:r>
        <w:rPr>
          <w:rFonts w:ascii="宋体" w:eastAsia="宋体"/>
          <w:sz w:val="30"/>
        </w:rPr>
        <w:br/>
        <w:t xml:space="preserve">按照约定的时间地点对车辆进行查勘，车辆是已修复并投入正常使用的状态；</w:t>
      </w:r>
      <w:r>
        <w:rPr>
          <w:rFonts w:ascii="宋体" w:eastAsia="宋体"/>
          <w:sz w:val="30"/>
        </w:rPr>
        <w:br/>
        <w:t xml:space="preserve">根据提供的质证材料及车辆复勘等情况，确定了车辆损失需更换的相关配件及工时，依据损失编辑损失清单，按照损失清单市场调研配件及工时费，取得调研结果后，撰写本报告书。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2026年01月12日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2025-01-12T07:12:35Z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