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津元丰泉鉴估字2024第0033号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冀G34G31保时捷WP0AJ297小型轿车车损评估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天津市西青区人民法院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何国力</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冀G34G31</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2024年12月07日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2025年01月08日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天津市西青区人民法院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2025年01月08日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天津市西青区人民法院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2025年01月08日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津元丰泉鉴估字2024第0033号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天津市西青区人民法院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49</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冀G34G31</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WP0AJ2972LL126036</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天津市西青区人民法院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何国力</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冀G34G31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保时捷WP0AJ297</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WP0AJ2972LL126036</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CSZ032709</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2020年07月17日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2024年08月21日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1、天津市西青区人民法院委托书（(2024)津0111诉前鉴第650号）；</w:t>
      </w:r>
      <w:r/>
      <w:r>
        <w:rPr>
          <w:sz w:val="30"/>
        </w:rPr>
        <w:rPr>
          <w:rFonts w:eastAsia="宋体" w:ascii="宋体"/>
        </w:rPr>
        <w:br/>
        <w:t>2、委托协议/合同（津元丰泉鉴估字2024第0033号）；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1、原告提供的相关照片。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接到线上委托后及时与相关人员取得联系，并约定了鉴定评估的时间及地点；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根据委托方提供的资料所示，原告已提交相关损失材料质证；</w:t>
      </w:r>
      <w:r>
        <w:rPr>
          <w:sz w:val="30"/>
        </w:rPr>
        <w:rPr>
          <w:rFonts w:eastAsia="宋体" w:ascii="宋体"/>
        </w:rPr>
        <w:br/>
        <w:t>事故发生日期为2024年8月21日，事故发生后，车辆已及时修复并正常使用，根据提供的材料所示，车辆于2024年9月1日修复完毕；</w:t>
      </w:r>
      <w:r>
        <w:rPr>
          <w:sz w:val="30"/>
        </w:rPr>
        <w:rPr>
          <w:rFonts w:eastAsia="宋体" w:ascii="宋体"/>
        </w:rPr>
        <w:br/>
        <w:t>按照约定的时间地点对车辆进行查勘，获取相关损失证据后，对相关更换配件及相关的维修工时进行市场调研，获得调研结果后，撰写本报告书。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38000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叁万捌仟元整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4</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2026年01月07日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2025年01月08日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