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津F222T6宝马WBA7E210小型轿车车损评估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王亚利</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津F222T6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2024年11月28日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津F222T6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WBA7E2104GG405271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王亚利</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津F222T6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宝马WBA7E210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WBA7E2104GG405271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22509502B58B30A</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2016年10月14日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2024年09月12日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1、天津市蓟州区人民法院委托书（(2024)津0119诉前鉴第1115号）；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接到线上委托后及时与相关人员取得联系并约定了鉴定评估的时间及地点；</w:t>
      </w:r>
      <w:r>
        <w:rPr>
          <w:rFonts w:ascii="宋体" w:eastAsia="宋体"/>
          <w:sz w:val="30"/>
        </w:rPr>
        <w:br/>
        <w:t xml:space="preserve">按照约定的时间及地点对车辆进行实地查勘，双方均到场参与鉴定评估工作，鉴定评估工作开展时，车辆已修复完毕并投入正常使用，故鉴定评估基准日定为事故发生日期；</w:t>
      </w:r>
      <w:r>
        <w:rPr>
          <w:rFonts w:ascii="宋体" w:eastAsia="宋体"/>
          <w:sz w:val="30"/>
        </w:rPr>
        <w:br/>
        <w:t xml:space="preserve">到达鉴定地点后对车辆残值及修复的车辆进行拍照取证，获取损失照片证据后对损失项目进行整理并编辑出损失明细，按照损失明细市场调研相关更换配件及工时费，取得调研结果后撰写本报告书。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51200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伍万壹仟贰佰元整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4、未考虑加装及改装，按照实际发生的损失核定。</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2025年12月12日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2024-12-13T06:30:05Z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