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津元丰泉鉴估字2024第0028号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津G1F557迈凯WP1AA295小型越野客车车损评估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李卫</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津G1F557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2024年10月18日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2024年10月31日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2024年10月31日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2024年10月31日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津元丰泉鉴估字2024第0028号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津G1F557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WP1AA2951FLB15269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李卫</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津G1F557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迈凯WP1AA295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WP1AA2951FLB15269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CNC091700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2015年02月13日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2024年10月18日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1、天津市宝坻区人民法院委托书（(2024)津0115诉前鉴第628号）；</w:t>
      </w:r>
      <w:r>
        <w:rPr>
          <w:rFonts w:ascii="宋体" w:eastAsia="宋体"/>
          <w:sz w:val="30"/>
        </w:rP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2、权属证件。</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接到线上委托后及时与相关人员取得联系并约定了鉴定评估的时间及地点；</w:t>
      </w:r>
      <w:r>
        <w:rPr>
          <w:rFonts w:ascii="宋体" w:eastAsia="宋体"/>
          <w:sz w:val="30"/>
        </w:rPr>
        <w:br/>
        <w:t xml:space="preserve">按照约定的时间及地点对车辆进行查勘取证，鉴定评估开展时车辆处于未拆解未修理的状态，故鉴定评估基准日定于2024-10-18查勘日期；</w:t>
      </w:r>
      <w:r>
        <w:rPr>
          <w:rFonts w:ascii="宋体" w:eastAsia="宋体"/>
          <w:sz w:val="30"/>
        </w:rPr>
        <w:br/>
        <w:t xml:space="preserve">取得车辆损失照片后对相关损失进行整理并编辑出损失明细，按照损失明细市场调研更换配件及维修工时的市场价格，获得市场调研结果后完善损失明细并撰写本报告书。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152900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壹拾伍万贰仟玖佰元整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2025年10月30日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2024年10月31日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2024-11-15T02:21:16Z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