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津C20H02程力威牌CLW5041TQZQ6轻型非载货专项作业</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天津凯烁汽车销售有限公司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津C20H02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2024年09月13日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2024年09月13日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2024年09月13日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津C20H02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LWLDMBUG1LL042481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天津凯烁汽车销售有限公司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津C20H02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轻型非载货专项作业</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程力威牌CLW5041TQZQ6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LWLDMBUG1LL042481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KAK00843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2020年04月29日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2024年02月19日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1、天津市蓟州区人民法院委托书（(2024)津0119诉前鉴第812号）；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按照约定的时间及地点对评估车辆进行复勘及残值查勘；</w:t>
      </w:r>
      <w:r>
        <w:rPr>
          <w:rFonts w:ascii="宋体" w:eastAsia="宋体"/>
          <w:sz w:val="30"/>
        </w:rPr>
        <w:br/>
        <w:t xml:space="preserve">鉴定评估工作开展时，该车辆已修复并投入正常使用中，鉴定评估基准日定为事故发生日期；</w:t>
      </w:r>
      <w:r>
        <w:rPr>
          <w:rFonts w:ascii="宋体" w:eastAsia="宋体"/>
          <w:sz w:val="30"/>
        </w:rPr>
        <w:br/>
        <w:t xml:space="preserve">达到查勘地点后拍照取证，取得损失照片后对需要更换的配件及工时项目进行整理，整理出损失明细后进行市场调研，获取调研结果后撰写本报告书。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42750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肆万贰仟柒佰伍拾元整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2025年09月12日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2024年09月13日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2024-09-13T07:32:27Z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