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津元丰泉鉴字2024第0017号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津A636A7保时捷WP1AA29Y小型越野客车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王亮</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津A636A7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2024年07月03日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天津自由贸易试验区人民法院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2024年07月03日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天津自由贸易试验区人民法院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2024年07月03日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津元丰泉鉴字2024第0017号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天津自由贸易试验区人民法院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津A636A7</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WP1AA29Y4LDA04439</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王亮</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津A636A7</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保时捷WP1AA29Y</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WP1AA29Y4LDA04439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DCB169150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2020年01月15日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为鉴定评估对象里程表调表日期及调表里程数提供参考依据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2024年06月20日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1、天津自由贸易试验区人民法院委托书（(2024)津0319司技委字第116号）；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申请人（买方）与被申请人（卖方），因买卖合同纠纷，双方对车辆里程是否被调表存在争议，申请鉴定调表日期及调表数。</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按照约定的时间及地点对车辆进行鉴定，开展鉴定工作时，双方均到场参加；</w:t>
      </w:r>
      <w:r>
        <w:rPr>
          <w:rFonts w:ascii="宋体" w:eastAsia="宋体"/>
          <w:sz w:val="30"/>
        </w:rPr>
        <w:br/>
        <w:t xml:space="preserve">查勘日期为鉴定基准日2024年6月20日；</w:t>
      </w:r>
      <w:r>
        <w:rPr>
          <w:rFonts w:ascii="宋体" w:eastAsia="宋体"/>
          <w:sz w:val="30"/>
        </w:rPr>
        <w:br/>
        <w:t xml:space="preserve">现场对车辆进行检测并对相关数据进行了拍照取证；</w:t>
      </w:r>
      <w:r>
        <w:rPr>
          <w:rFonts w:ascii="宋体" w:eastAsia="宋体"/>
          <w:sz w:val="30"/>
        </w:rPr>
        <w:br/>
        <w:t xml:space="preserve">获取相关数据资料后，鉴定小组成员对数据进行整理、分析及研判后撰写本意见书。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1、通过检测设备检测出该车辆于2023年2月里程表数据异常被人为调表；</w:t>
      </w:r>
      <w:r>
        <w:rPr>
          <w:rFonts w:ascii="宋体" w:eastAsia="宋体"/>
          <w:sz w:val="30"/>
        </w:rPr>
        <w:br/>
        <w:t xml:space="preserve">2、本次（2024年6月20日）检测仪表里程数据83807公里（仪表盘和检测设备数据一致），DME数据为95227公里，辅助系统数据为83697公里，参考数据为157452公里（上一次变速箱换油后的行驶里程）；</w:t>
      </w:r>
      <w:r>
        <w:rPr>
          <w:rFonts w:ascii="宋体" w:eastAsia="宋体"/>
          <w:sz w:val="30"/>
        </w:rPr>
        <w:br/>
        <w:t xml:space="preserve">3、上一次（2024年1月17日东大鉴定公司）检测仪表里程数据81704公里（仪表盘和检测设备数据一致），DME数据为93156公里，辅助系统数据为81385公里，参考数据为155349公里（上一次变速箱换油后的行驶里程）；</w:t>
      </w:r>
      <w:r>
        <w:rPr>
          <w:rFonts w:ascii="宋体" w:eastAsia="宋体"/>
          <w:sz w:val="30"/>
        </w:rPr>
        <w:br/>
        <w:t xml:space="preserve">4、本次采集DEM数据与表显里程差距11720公里、本次采集辅助系统数据与表显里程差距-110公里、本次采集参考数据与表显里程差距73645公里（与上次数据吻合）；</w:t>
      </w:r>
      <w:r>
        <w:rPr>
          <w:rFonts w:ascii="宋体" w:eastAsia="宋体"/>
          <w:sz w:val="30"/>
        </w:rPr>
        <w:br/>
        <w:t xml:space="preserve">5、上次采集DEM数据与表显里程差距11812公里、上次采集辅助系统数据与表显里程差距-319公里、上次采集参考数据与表显里程差距73645公里（与本次数据吻合）；</w:t>
      </w:r>
      <w:r>
        <w:rPr>
          <w:rFonts w:ascii="宋体" w:eastAsia="宋体"/>
          <w:sz w:val="30"/>
        </w:rPr>
        <w:br/>
        <w:t xml:space="preserve">6、两次检测2024年1月17日至2024年6月20日期间行驶里程为：本次表显里程83807-上次表显里程81704=2103公里、本次参考数据157452-上次参考数据155349=2013公里；</w:t>
      </w:r>
      <w:r>
        <w:rPr>
          <w:rFonts w:ascii="宋体" w:eastAsia="宋体"/>
          <w:sz w:val="30"/>
        </w:rPr>
        <w:br/>
        <w:t xml:space="preserve">7、经过对多项数据的整理及研判，确定参考数据前后对应准确性相对较高。</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综上所述得出鉴定意见：</w:t>
      </w:r>
      <w:r>
        <w:rPr>
          <w:rFonts w:ascii="宋体" w:eastAsia="宋体"/>
          <w:sz w:val="30"/>
        </w:rPr>
        <w:br/>
        <w:t xml:space="preserve">一、该车辆于2023年2月份调表调整里程数；；</w:t>
      </w:r>
      <w:r>
        <w:rPr>
          <w:rFonts w:ascii="宋体" w:eastAsia="宋体"/>
          <w:sz w:val="30"/>
        </w:rPr>
        <w:br/>
        <w:t xml:space="preserve">二、该车辆调表里程至少为73645公里。。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2025年07月02日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2024年07月03日</w:t>
      </w:r>
      <w: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2024-07-01T23:28:22Z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