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津元丰泉鉴估字2024第0012号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津AW6923福田牌BJ1099VEPED-FB重型普通货车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天津市宝坻区人民法院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天津飞顺达运输有限公司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津AW6923</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2024年05月23日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2024年06月05日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2024年06月05日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2024年06月05日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津元丰泉鉴估字2024第0012号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天津市宝坻区人民法院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110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津AW6923</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LVBV4PBB5FJ021112</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天津市宝坻区人民法院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天津飞顺达运输有限公司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津AW6923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重型普通货车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福田牌BJ1099VEPED-FB</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LVBV4PBB5FJ021112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89226335</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2015年03月13日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2024年05月23日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1、天津市宝坻区人民法院委托书（(2024)津0115诉前鉴第287号）；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接到鉴定评估委托后及时与相关代理人取得联系并约定了查勘时间及地点；</w:t>
      </w:r>
      <w:r>
        <w:rPr>
          <w:rFonts w:ascii="宋体" w:eastAsia="宋体"/>
          <w:sz w:val="30"/>
        </w:rPr>
        <w:br/>
        <w:t xml:space="preserve">2024-5-23按照约定的时间及地点相关对车辆进行实地查勘，车辆是未维修状态，故鉴定评估基准日定于查勘当天；</w:t>
      </w:r>
      <w:r>
        <w:rPr>
          <w:rFonts w:ascii="宋体" w:eastAsia="宋体"/>
          <w:sz w:val="30"/>
        </w:rPr>
        <w:br/>
        <w:t xml:space="preserve">到达现场后对车辆的损失进行拍照取证，取证后对相关更换配件及维修工时进行整理并编辑出损失明细，按照损失明细进行市场调研，获得市场调研结果后对损失明细进行完善后撰写本报告书。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color w:val="FF0000"/>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40500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肆万零伍佰元整</w:t>
      </w:r>
      <w:r>
        <w:rPr>
          <w:rFonts w:ascii="宋体" w:hAnsi="宋体" w:cs="宋体" w:eastAsia="宋体" w:hint="eastAsia"/>
          <w:b/>
          <w:bCs/>
          <w:color w:val="FF0000"/>
          <w:sz w:val="30"/>
          <w:szCs w:val="30"/>
          <w:shd w:val="clear" w:color="FFFFFF" w:fill="FFFFFF"/>
        </w:rPr>
        <w:t xml:space="preserve">)。</w:t>
      </w:r>
      <w:r>
        <w:rPr>
          <w:b/>
          <w:color w:val="FF0000"/>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5</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2025年06月04日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2024年06月05日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2024-06-03T07:02:39Z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