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津永信鉴估字2024第0008号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津JSL519英菲尼迪DFL7205ASL1轿车小型轿车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沙洪</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沙洪</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津JSL519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王永艳、张鹏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2024年05月15日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沙洪</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沙洪</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沙洪</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津JSL519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LGBW1PE04GR037687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沙洪</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沙洪</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津JSL519</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英菲尼迪DFL7205ASL1轿车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LGBW1PE04GR037687</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E056375A</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2017年01月12日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2024年02月03日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1、委托协议/合同（津永信鉴估字2024第0008号）。</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1、权属证件。</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接到沙洪委托后，因车辆已及时修复并投入使用，故鉴定基准日定为事故发生日期；</w:t>
      </w:r>
      <w:r>
        <w:rPr>
          <w:rFonts w:ascii="宋体" w:eastAsia="宋体"/>
          <w:sz w:val="30"/>
        </w:rPr>
        <w:br/>
        <w:t xml:space="preserve">因车辆已修复，故使用提供的照片进行损失评估；</w:t>
      </w:r>
      <w:r>
        <w:rPr>
          <w:rFonts w:ascii="宋体" w:eastAsia="宋体"/>
          <w:sz w:val="30"/>
        </w:rPr>
        <w:br/>
        <w:t xml:space="preserve">获取损失证据后，对损失明细进行编辑随后进行市场调研，对更换的配件及工时金额进行询价，获取市场调研结果后撰写本报告书。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15000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壹万伍仟元整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2025年05月14日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lang w:val="en-US" w:eastAsia="zh-CN"/>
        </w:rPr>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2024-05-16T12:14:37Z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