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天津永信机动车鉴定评估有限公司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钱程</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火灾造成损坏损毁的杂物</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钱程</w:t>
      </w:r>
      <w:r/>
    </w:p>
    <w:p>
      <w:pPr>
        <w:pStyle w:val="999"/>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footerReference r:id="rId9" w:type="default"/>
          <w:footnotePr/>
          <w:endnotePr/>
          <w:type w:val="nextPage"/>
          <w:pgSz w:h="16838" w:orient="portrait" w:w="11906"/>
          <w:pgMar w:bottom="1440" w:footer="737" w:gutter="0" w:header="851" w:left="1080" w:right="1080" w:top="1440"/>
          <w:pgNumType w:start="7"/>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t xml:space="preserve">价格鉴定评估报告</w:t>
      </w:r>
      <w:r/>
    </w:p>
    <w:p>
      <w:pPr>
        <w:jc w:val="center"/>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津永信鉴估字2024第0005号</w:t>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火灾造成损坏损毁的杂物</w:t>
      </w:r>
      <w:r>
        <w:rPr>
          <w:rFonts w:ascii="宋体" w:cs="宋体" w:eastAsia="宋体" w:hAnsi="宋体" w:hint="eastAsia"/>
          <w:sz w:val="28"/>
          <w:szCs w:val="28"/>
        </w:rPr>
        <w:t xml:space="preserve">价值鉴定评估项目</w:t>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hint="eastAsia"/>
          <w:sz w:val="28"/>
          <w:szCs w:val="28"/>
        </w:rPr>
      </w:pPr>
      <w:r>
        <w:rPr>
          <w:rFonts w:ascii="宋体" w:cs="宋体" w:eastAsia="宋体" w:hAnsi="宋体" w:hint="eastAsia"/>
          <w:sz w:val="28"/>
          <w:szCs w:val="28"/>
        </w:rPr>
        <w:t xml:space="preserve">委托方：</w:t>
      </w:r>
      <w:bookmarkStart w:id="0" w:name="_Hlk42691717"/>
      <w:r>
        <w:rPr>
          <w:rFonts w:ascii="宋体" w:cs="宋体" w:eastAsia="宋体" w:hAnsi="宋体" w:hint="eastAsia"/>
          <w:sz w:val="30"/>
          <w:szCs w:val="28"/>
        </w:rPr>
        <w:rPr>
          <w:rFonts w:eastAsia="宋体" w:ascii="宋体"/>
        </w:rPr>
        <w:rPr>
          <w:shd w:fill=""/>
        </w:rPr>
        <w:t xml:space="preserve">钱程</w:t>
      </w:r>
      <w:bookmarkEnd w:id="0"/>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hint="eastAsia"/>
          <w:sz w:val="28"/>
          <w:szCs w:val="28"/>
        </w:rPr>
      </w:pPr>
      <w:r>
        <w:rPr>
          <w:rFonts w:ascii="宋体" w:cs="宋体" w:eastAsia="宋体" w:hAnsi="宋体" w:hint="eastAsia"/>
          <w:sz w:val="28"/>
          <w:szCs w:val="28"/>
        </w:rPr>
        <w:t xml:space="preserve">评估方：</w:t>
      </w:r>
      <w:bookmarkStart w:id="1" w:name="_Hlk42691608"/>
      <w:r>
        <w:rPr>
          <w:rFonts w:ascii="宋体" w:cs="宋体" w:eastAsia="宋体" w:hAnsi="宋体" w:hint="eastAsia"/>
          <w:sz w:val="30"/>
          <w:szCs w:val="28"/>
        </w:rPr>
        <w:rPr>
          <w:rFonts w:eastAsia="宋体" w:ascii="宋体"/>
        </w:rPr>
        <w:rPr>
          <w:shd w:fill=""/>
        </w:rPr>
        <w:t xml:space="preserve">天津永信机动车鉴定评估有限公司</w:t>
      </w:r>
      <w:bookmarkEnd w:id="1"/>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天津市滨海新区华苑产业区梓苑路6号普天科技园D座2012</w:t>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022-87082212</w:t>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1" w:left="0"/>
        <w:keepLines w:val="false"/>
        <w:keepNext w:val="false"/>
        <w:pageBreakBefore w:val="false"/>
        <w:spacing w:line="240" w:lineRule="auto"/>
        <w:shd w:color="auto" w:fill="auto" w:val="clear"/>
        <w:widowControl w:val="off"/>
        <w:rPr>
          <w:rFonts w:ascii="宋体" w:cs="宋体" w:eastAsia="宋体" w:hAnsi="宋体"/>
          <w:b/>
          <w:bCs/>
          <w:sz w:val="28"/>
          <w:szCs w:val="28"/>
        </w:rPr>
      </w:pPr>
      <w:r>
        <w:rPr>
          <w:rFonts w:ascii="宋体" w:cs="宋体" w:eastAsia="宋体" w:hAnsi="宋体"/>
          <w:b/>
          <w:bCs/>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李兴凯,李兴凯,张鹏</w:t>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评估作业日期：</w:t>
      </w:r>
      <w:bookmarkStart w:id="2"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2024年03月07日</w:t>
      </w:r>
      <w:r>
        <w:rPr>
          <w:rFonts w:ascii="宋体" w:cs="宋体" w:eastAsia="宋体" w:hAnsi="宋体" w:hint="eastAsia"/>
          <w:sz w:val="28"/>
          <w:szCs w:val="28"/>
        </w:rPr>
        <w:t xml:space="preserve">---</w:t>
      </w:r>
      <w:bookmarkEnd w:id="2"/>
      <w:r>
        <w:rPr>
          <w:rFonts w:ascii="宋体" w:cs="宋体" w:eastAsia="宋体" w:hAnsi="宋体" w:hint="eastAsia"/>
          <w:sz w:val="30"/>
          <w:szCs w:val="28"/>
        </w:rPr>
        <w:rPr>
          <w:rFonts w:eastAsia="宋体" w:ascii="宋体"/>
        </w:rPr>
        <w:rPr>
          <w:shd w:fill=""/>
        </w:rPr>
        <w:t xml:space="preserve">2024年04月22日</w:t>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0" w:left="0"/>
        <w:jc w:val="center"/>
        <w:keepLines w:val="false"/>
        <w:keepNext w:val="false"/>
        <w:pageBreakBefore w:val="false"/>
        <w:spacing w:line="24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天津永信机动车鉴定评估有限公司</w:t>
      </w:r>
      <w:r/>
    </w:p>
    <w:p>
      <w:pPr>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99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99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99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99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四、鉴定评估报告书</w:t>
      </w:r>
      <w:r/>
    </w:p>
    <w:p>
      <w:pPr>
        <w:pStyle w:val="99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999"/>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99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99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99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评估原则</w:t>
      </w:r>
      <w:r/>
    </w:p>
    <w:p>
      <w:pPr>
        <w:pStyle w:val="99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99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99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99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99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99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99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99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99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999"/>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钱程</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2024年04月22日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钱程</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4836" w:right="2385"/>
        <w:jc w:val="both"/>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4838" w:right="2385"/>
        <w:jc w:val="both"/>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hint="eastAsia"/>
          <w:sz w:val="28"/>
          <w:szCs w:val="28"/>
        </w:rPr>
        <w:t xml:space="preserve">鉴定机构：</w:t>
      </w:r>
      <w:r/>
    </w:p>
    <w:p>
      <w:pPr>
        <w:ind w:firstLine="0" w:left="4836" w:right="2385"/>
        <w:jc w:val="both"/>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2024年04月22日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999"/>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999"/>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t xml:space="preserve">鉴定评估报告书</w:t>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津永信鉴估字2024第0005号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钱程</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被鉴定对象</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999"/>
        <w:numPr>
          <w:ilvl w:val="0"/>
          <w:numId w:val="1"/>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基本信息</w:t>
      </w:r>
      <w:r/>
    </w:p>
    <w:tbl>
      <w:tblPr>
        <w:tblStyle w:val="1000"/>
        <w:tblW w:type="auto" w:w="0"/>
        <w:tblInd w:type="dxa" w:w="0"/>
        <w:tblBorders>
          <w:left w:color="auto" w:space="0" w:sz="4" w:val="single"/>
          <w:top w:color="auto" w:space="0" w:sz="4" w:val="single"/>
          <w:right w:color="auto" w:space="0" w:sz="4" w:val="single"/>
          <w:bottom w:color="auto" w:space="0" w:sz="4" w:val="single"/>
          <w:insideV w:color="auto" w:space="0" w:sz="4" w:val="single"/>
          <w:insideH w:color="auto" w:space="0" w:sz="4" w:val="single"/>
        </w:tblBorders>
        <w:tblLayout w:type="autofit"/>
        <w:tblCellMar>
          <w:left w:type="dxa" w:w="108"/>
          <w:top w:type="dxa" w:w="0"/>
          <w:right w:type="dxa" w:w="108"/>
          <w:bottom w:type="dxa" w:w="0"/>
        </w:tblCellMar>
        <w:tblLook w:firstColumn="1" w:firstRow="1" w:lastColumn="0" w:lastRow="0" w:noHBand="0" w:noVBand="1" w:val="04A0"/>
      </w:tblPr>
      <w:tblGrid>
        <w:gridCol w:w="1934"/>
        <w:gridCol w:w="2387"/>
        <w:gridCol w:w="1935"/>
        <w:gridCol w:w="3706"/>
      </w:tblGrid>
      <w:tr>
        <w:trPr>
          <w:trHeight w:val="850"/>
        </w:trPr>
        <w:tc>
          <w:tcPr>
            <w:tcW w:type="dxa" w:w="2490"/>
            <w:vAlign w:val="center"/>
            <w:textDirection w:val="lrTb"/>
            <w:noWrap w:val="false"/>
          </w:tcPr>
          <w:p>
            <w:pPr>
              <w:jc w:val="center"/>
              <w:spacing w:line="24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dxa" w:w="2490"/>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vertAlign w:val="baseline"/>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钱程</w:t>
            </w:r>
            <w:r/>
          </w:p>
        </w:tc>
        <w:tc>
          <w:tcPr>
            <w:tcW w:type="dxa" w:w="2491"/>
            <w:vAlign w:val="center"/>
            <w:textDirection w:val="lrTb"/>
            <w:noWrap w:val="false"/>
          </w:tcPr>
          <w:p>
            <w:pPr>
              <w:jc w:val="center"/>
              <w:spacing w:line="24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dxa" w:w="2491"/>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vertAlign w:val="baseline"/>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w:t>
            </w:r>
            <w:r/>
          </w:p>
        </w:tc>
      </w:tr>
      <w:tr>
        <w:trPr>
          <w:trHeight w:val="850"/>
        </w:trPr>
        <w:tc>
          <w:tcPr>
            <w:tcW w:type="dxa" w:w="2490"/>
            <w:vAlign w:val="center"/>
            <w:textDirection w:val="lrTb"/>
            <w:noWrap w:val="false"/>
          </w:tcPr>
          <w:p>
            <w:pPr>
              <w:jc w:val="center"/>
              <w:spacing w:line="24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dxa" w:w="2490"/>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钱程</w:t>
            </w:r>
            <w:r/>
          </w:p>
        </w:tc>
        <w:tc>
          <w:tcPr>
            <w:tcW w:type="dxa" w:w="2491"/>
            <w:vAlign w:val="center"/>
            <w:textDirection w:val="lrTb"/>
            <w:noWrap w:val="false"/>
          </w:tcPr>
          <w:p>
            <w:pPr>
              <w:jc w:val="center"/>
              <w:spacing w:line="24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证件号</w:t>
            </w:r>
            <w:r/>
          </w:p>
        </w:tc>
        <w:tc>
          <w:tcPr>
            <w:tcW w:type="dxa" w:w="2491"/>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vertAlign w:val="baseline"/>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w:t>
            </w:r>
            <w:r/>
          </w:p>
        </w:tc>
      </w:tr>
      <w:tr>
        <w:trPr>
          <w:trHeight w:val="850"/>
        </w:trPr>
        <w:tc>
          <w:tcPr>
            <w:tcW w:type="dxa" w:w="2490"/>
            <w:vAlign w:val="center"/>
            <w:textDirection w:val="lrTb"/>
            <w:noWrap w:val="false"/>
          </w:tcPr>
          <w:p>
            <w:pPr>
              <w:jc w:val="center"/>
              <w:spacing w:line="240" w:lineRule="auto"/>
              <w:shd w:color="auto" w:fill="auto" w:val="clear"/>
              <w:rPr>
                <w:rFonts w:ascii="宋体" w:cs="宋体" w:eastAsia="宋体" w:hAnsi="宋体" w:hint="default"/>
                <w:sz w:val="30"/>
                <w:szCs w:val="30"/>
                <w:vertAlign w:val="baseline"/>
                <w:lang w:eastAsia="zh-CN" w:val="en-US"/>
              </w:rPr>
            </w:pPr>
            <w:r>
              <w:rPr>
                <w:rFonts w:ascii="宋体" w:cs="宋体" w:eastAsia="宋体" w:hAnsi="宋体" w:hint="eastAsia"/>
                <w:sz w:val="30"/>
                <w:szCs w:val="30"/>
                <w:vertAlign w:val="baseline"/>
                <w:lang w:eastAsia="zh-CN" w:val="en-US"/>
              </w:rPr>
              <w:t xml:space="preserve">财产名称</w:t>
            </w:r>
            <w:r/>
          </w:p>
        </w:tc>
        <w:tc>
          <w:tcPr>
            <w:gridSpan w:val="3"/>
            <w:tcW w:type="dxa" w:w="7472"/>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vertAlign w:val="baseline"/>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火灾造成损坏损毁的杂物</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99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 </w:t>
      </w:r>
      <w:r/>
    </w:p>
    <w:p>
      <w:pPr>
        <w:pStyle w:val="99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0"/>
          <w:szCs w:val="30"/>
          <w:u w:val="none"/>
          <w:shd w:color="FFFFFF" w:fill="FFFFFF" w:val="clear"/>
          <w:lang w:bidi="ar" w:eastAsia="zh-CN" w:val="en-US"/>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2023年12月17日</w:t>
      </w:r>
      <w:r/>
    </w:p>
    <w:p>
      <w:pPr>
        <w:numPr>
          <w:ilvl w:val="0"/>
          <w:numId w:val="2"/>
        </w:numPr>
        <w:jc w:val="left"/>
        <w:keepLines w:val="false"/>
        <w:keepNext w:val="false"/>
        <w:pageBreakBefore w:val="false"/>
        <w:spacing w:line="360" w:lineRule="auto"/>
        <w:shd w:color="auto" w:fill="auto" w:val="clear"/>
        <w:widowControl/>
        <w:rPr>
          <w:rFonts w:ascii="黑体" w:cs="黑体" w:eastAsia="黑体" w:hAnsi="黑体" w:hint="eastAsia"/>
          <w:sz w:val="32"/>
          <w:szCs w:val="32"/>
          <w:lang w:bidi="ar-SA" w:eastAsia="zh-CN" w:val="en-US"/>
        </w:rPr>
        <w:suppressLineNumbers w:val="0"/>
      </w:pPr>
      <w:r>
        <w:rPr>
          <w:rFonts w:ascii="黑体" w:cs="黑体" w:eastAsia="黑体" w:hAnsi="黑体" w:hint="eastAsia"/>
          <w:sz w:val="32"/>
          <w:szCs w:val="32"/>
          <w:lang w:bidi="ar-SA" w:eastAsia="zh-CN" w:val="en-US"/>
        </w:rPr>
        <w:t xml:space="preserve">评估原则</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（一）遵循“客观、公正、真实、科学”的工作原则，进行独立的评估</w:t>
      </w:r>
      <w:r>
        <w:rPr>
          <w:rFonts w:ascii="宋体" w:cs="宋体" w:eastAsia="宋体" w:hAnsi="宋体" w:hint="eastAsia"/>
          <w:sz w:val="32"/>
          <w:szCs w:val="32"/>
          <w:lang w:eastAsia="zh-CN" w:val="en-US"/>
        </w:rPr>
        <w:t xml:space="preserve">。</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1、坚持客观、公正的原则：即在评估工作中，认真进行现场勘察和调查研究，掌握详实可靠的资料，采取符合实际的计价标准和方法，得出合理、可信、客观、公正的评估结果。</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2、坚持独立的原则：即在评估工作中，排除一切干扰，严格按照国家法律和法规进行评估操作，确保资产评估工作不受外界干扰和影响。除按合同支付评估费外，评估机构和评估人员与评估业务不存在其他利害关系。</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3、坚持科学性的原则：根据特定的评估方法，选择适用的价值类型和方法，制定科学的工作方案，采用科学的评估程序和方法，使评估结果科学、合理。</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（二）遵循资产评估公认的经济原则，科学合理地进行评估</w:t>
      </w:r>
      <w:r>
        <w:rPr>
          <w:rFonts w:ascii="宋体" w:cs="宋体" w:eastAsia="宋体" w:hAnsi="宋体" w:hint="eastAsia"/>
          <w:sz w:val="32"/>
          <w:szCs w:val="32"/>
          <w:lang w:eastAsia="zh-CN" w:val="en-US"/>
        </w:rPr>
        <w:t xml:space="preserve">。</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1、贡献原则：指某一资产或资产的某一构成部分的价值，取决于其对其他相关资产或资产整体的价值贡献。评估中综合考虑该项资产在整体资产构成中的重要性，而不是孤立地确定其价值。</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2、替代原则：指同时存在几种效能相同的资产时，最低价格的资产需求最大。评估中可通过了解有替代性的资产的价值，考虑委估资产价值。</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3、预期原则：资产的价值取决于现实资产的未来效用或获利能力。评估中通过合理预测其未来获利能力以及拥有获利能力的有效期限，确定资产价值。</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bookmarkStart w:id="3" w:name="_GoBack"/>
      <w:r>
        <w:rPr>
          <w:rFonts w:ascii="黑体" w:cs="黑体" w:eastAsia="黑体" w:hAnsi="黑体" w:hint="eastAsia"/>
          <w:sz w:val="32"/>
          <w:szCs w:val="32"/>
          <w:lang w:eastAsia="zh-CN" w:val="en-US"/>
        </w:rPr>
        <w:t xml:space="preserve">六</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1、《价格鉴定行为规范》；</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1、《资产评估价值类型指导意见》；</w:t>
      </w:r>
      <w:r/>
      <w:r>
        <w:rPr>
          <w:sz w:val="30"/>
        </w:rPr>
        <w:rPr>
          <w:rFonts w:eastAsia="宋体" w:ascii="宋体"/>
        </w:rPr>
        <w:br/>
        <w:t>2、其他相关国家/行业标准、技术规范等。</w:t>
      </w:r>
    </w:p>
    <w:p>
      <w:pPr>
        <w:numPr>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default"/>
          <w:sz w:val="32"/>
          <w:szCs w:val="32"/>
          <w:highlight w:val="none"/>
        </w:rPr>
        <w:t xml:space="preserve">（</w:t>
      </w:r>
      <w:r>
        <w:rPr>
          <w:rFonts w:ascii="宋体" w:cs="宋体" w:eastAsia="宋体" w:hAnsi="宋体" w:hint="eastAsia"/>
          <w:sz w:val="32"/>
          <w:szCs w:val="32"/>
          <w:highlight w:val="none"/>
          <w:lang w:eastAsia="zh-Hans" w:val="en-US"/>
        </w:rPr>
        <w:t xml:space="preserve">三</w:t>
      </w:r>
      <w:r>
        <w:rPr>
          <w:rFonts w:ascii="宋体" w:cs="宋体" w:eastAsia="宋体" w:hAnsi="宋体" w:hint="default"/>
          <w:sz w:val="32"/>
          <w:szCs w:val="32"/>
          <w:highlight w:val="none"/>
        </w:rPr>
        <w:t xml:space="preserve">）</w:t>
      </w: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1、钱程委托书（无）；</w:t>
      </w:r>
      <w:r/>
      <w:r>
        <w:rPr>
          <w:sz w:val="30"/>
        </w:rPr>
        <w:rPr>
          <w:rFonts w:eastAsia="宋体" w:ascii="宋体"/>
        </w:rPr>
        <w:br/>
        <w:t>2、委托协议/合同（津永信鉴估字2024第0005号）；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bookmarkEnd w:id="3"/>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2、委托人口述及提供的相关资料。</w:t>
      </w:r>
    </w:p>
    <w:p>
      <w:pPr>
        <w:pStyle w:val="99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lang w:eastAsia="zh-CN" w:val="en-US"/>
        </w:rPr>
        <w:t xml:space="preserve">七</w:t>
      </w:r>
      <w:r>
        <w:rPr>
          <w:rFonts w:ascii="黑体" w:cs="黑体" w:eastAsia="黑体" w:hAnsi="黑体" w:hint="eastAsia"/>
          <w:sz w:val="32"/>
          <w:szCs w:val="32"/>
        </w:rPr>
        <w:t xml:space="preserve">、鉴定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99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eastAsia="zh-CN" w:val="en-US"/>
        </w:rPr>
        <w:t xml:space="preserve">八</w:t>
      </w:r>
      <w:r>
        <w:rPr>
          <w:rFonts w:ascii="黑体" w:cs="黑体" w:eastAsia="黑体" w:hAnsi="黑体" w:hint="eastAsia"/>
          <w:sz w:val="32"/>
          <w:szCs w:val="32"/>
        </w:rPr>
        <w:t xml:space="preserve">、</w:t>
      </w:r>
      <w:r>
        <w:rPr>
          <w:rFonts w:ascii="黑体" w:cs="黑体" w:eastAsia="黑体" w:hAnsi="黑体"/>
          <w:sz w:val="32"/>
          <w:szCs w:val="32"/>
        </w:rPr>
        <w:t xml:space="preserve">评估方法</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99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eastAsia"/>
          <w:sz w:val="32"/>
          <w:szCs w:val="32"/>
          <w:lang w:eastAsia="zh-CN" w:val="en-US"/>
        </w:rPr>
        <w:t xml:space="preserve">九</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2024-3-7接受并受理钱程的委托，对因2023-12-17因火灾造成的相关损失进行价格评估；</w:t>
      </w:r>
      <w:r/>
      <w:r>
        <w:rPr>
          <w:sz w:val="30"/>
        </w:rPr>
        <w:rPr>
          <w:rFonts w:eastAsia="宋体" w:ascii="宋体"/>
        </w:rPr>
        <w:br/>
        <w:t>评估师已到场拍照收集相关损失证据，由于火情较大，部分财物已烧为灰烬，故按申请人的叙述列出损失明细；</w:t>
      </w:r>
      <w:r>
        <w:rPr>
          <w:sz w:val="30"/>
        </w:rPr>
        <w:rPr>
          <w:rFonts w:eastAsia="宋体" w:ascii="宋体"/>
        </w:rPr>
        <w:br/>
        <w:t>整理出损失明细后市场调研相关财物的市场流通价格，取得市场调研结果后确认了相关财产价格，并撰写本报告书；</w:t>
      </w:r>
      <w:r>
        <w:rPr>
          <w:sz w:val="30"/>
        </w:rPr>
        <w:rPr>
          <w:rFonts w:eastAsia="宋体" w:ascii="宋体"/>
        </w:rPr>
        <w:br/>
        <w:t>总体损失评估金额为人民币：575850元，详情见损失清单。</w:t>
      </w:r>
    </w:p>
    <w:p>
      <w:pPr>
        <w:pStyle w:val="99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eastAsia="zh-CN" w:val="en-US"/>
        </w:rPr>
        <w:t xml:space="preserve">十</w:t>
      </w:r>
      <w:r>
        <w:rPr>
          <w:rFonts w:ascii="黑体" w:cs="黑体" w:eastAsia="黑体" w:hAnsi="黑体" w:hint="eastAsia"/>
          <w:sz w:val="32"/>
          <w:szCs w:val="32"/>
        </w:rPr>
        <w:t xml:space="preserve">、鉴定</w:t>
      </w:r>
      <w:r>
        <w:rPr>
          <w:rFonts w:ascii="黑体" w:cs="黑体" w:eastAsia="黑体" w:hAnsi="黑体"/>
          <w:sz w:val="32"/>
          <w:szCs w:val="32"/>
          <w:lang w:bidi="ar"/>
        </w:rPr>
        <w:t xml:space="preserve">评估意见</w:t>
      </w:r>
      <w:r/>
    </w:p>
    <w:p>
      <w:pPr>
        <w:ind w:firstLine="420"/>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w:t>
      </w:r>
      <w:r>
        <w:rPr>
          <w:rFonts w:ascii="宋体" w:cs="宋体" w:eastAsia="宋体" w:hAnsi="宋体"/>
          <w:b w:val="false"/>
          <w:sz w:val="30"/>
          <w:szCs w:val="30"/>
        </w:rPr>
        <w:t xml:space="preserve">算，</w:t>
      </w:r>
      <w:r>
        <w:rPr>
          <w:rFonts w:ascii="宋体" w:cs="宋体" w:eastAsia="宋体" w:hAnsi="宋体"/>
          <w:b/>
          <w:bCs/>
          <w:sz w:val="30"/>
          <w:szCs w:val="30"/>
          <w:shd w:color="auto" w:fill="auto" w:val="clear"/>
          <w:lang w:eastAsia="zh-CN" w:val="en-US"/>
        </w:rPr>
        <w:t xml:space="preserve">截止评估基准日鉴定评估对象的评估金额为人民币</w:t>
      </w:r>
      <w:r>
        <w:rPr>
          <w:rFonts w:ascii="宋体" w:cs="宋体" w:eastAsia="宋体" w:hAnsi="宋体"/>
          <w:b/>
          <w:bCs/>
          <w:sz w:val="30"/>
          <w:szCs w:val="30"/>
          <w:shd w:color="FFFFFF" w:fill="FFFFFF" w:val="clear"/>
          <w:lang w:eastAsia="zh-CN" w:val="en-US"/>
        </w:rPr>
        <w:t xml:space="preserve">：</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575850</w:t>
      </w:r>
      <w:r>
        <w:rPr>
          <w:rFonts w:ascii="宋体" w:cs="宋体" w:eastAsia="宋体" w:hAnsi="宋体" w:hint="eastAsia"/>
          <w:b/>
          <w:bCs/>
          <w:color w:val="FF0000"/>
          <w:sz w:val="30"/>
          <w:szCs w:val="30"/>
        </w:rPr>
        <w:t xml:space="preserve">（大写人民币：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伍拾柒万伍仟捌佰伍拾元整</w:t>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99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w:t>
      </w:r>
      <w:r>
        <w:rPr>
          <w:rFonts w:ascii="黑体" w:cs="黑体" w:eastAsia="黑体" w:hAnsi="黑体" w:hint="eastAsia"/>
          <w:sz w:val="32"/>
          <w:szCs w:val="32"/>
          <w:lang w:bidi="ar" w:eastAsia="zh-CN" w:val="en-US"/>
        </w:rPr>
        <w:t xml:space="preserve">一</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99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99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99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99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4</w:t>
      </w:r>
      <w:r>
        <w:rPr>
          <w:rFonts w:ascii="宋体" w:cs="宋体" w:eastAsia="宋体" w:hAnsi="宋体" w:hint="eastAsia"/>
          <w:color w:val="454343"/>
          <w:sz w:val="30"/>
          <w:szCs w:val="30"/>
          <w:lang w:bidi="ar" w:eastAsia="zh-CN"/>
        </w:rPr>
        <w:t xml:space="preserve">.</w:t>
      </w:r>
      <w:r>
        <w:rPr>
          <w:rFonts w:ascii="宋体" w:cs="宋体" w:eastAsia="宋体" w:hAnsi="宋体" w:hint="eastAsia"/>
          <w:color w:val="454343"/>
          <w:sz w:val="30"/>
          <w:szCs w:val="30"/>
          <w:lang w:bidi="ar"/>
        </w:rPr>
        <w:t xml:space="preserve">清算假设</w:t>
      </w:r>
      <w:r/>
    </w:p>
    <w:p>
      <w:pPr>
        <w:pStyle w:val="99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w:t>
      </w:r>
      <w:r>
        <w:rPr>
          <w:rFonts w:ascii="黑体" w:cs="黑体" w:eastAsia="黑体" w:hAnsi="黑体" w:hint="eastAsia"/>
          <w:sz w:val="32"/>
          <w:szCs w:val="32"/>
          <w:lang w:bidi="ar" w:eastAsia="zh-CN" w:val="en-US"/>
        </w:rPr>
        <w:t xml:space="preserve">二</w:t>
      </w:r>
      <w:r>
        <w:rPr>
          <w:rFonts w:ascii="黑体" w:cs="黑体" w:eastAsia="黑体" w:hAnsi="黑体" w:hint="eastAsia"/>
          <w:sz w:val="32"/>
          <w:szCs w:val="32"/>
          <w:lang w:bidi="ar"/>
        </w:rPr>
        <w:t xml:space="preserve">、</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r>
        <w:rPr>
          <w:sz w:val="30"/>
        </w:rPr>
        <w:rPr>
          <w:rFonts w:eastAsia="宋体" w:ascii="宋体"/>
        </w:rPr>
        <w:br/>
        <w:t>4、因火情比较大，部分财物已烧成灰烬无法拍照取证，由当事人列出相关财物后估价；</w:t>
      </w:r>
      <w:r>
        <w:rPr>
          <w:sz w:val="30"/>
        </w:rPr>
        <w:rPr>
          <w:rFonts w:eastAsia="宋体" w:ascii="宋体"/>
        </w:rPr>
        <w:br/>
        <w:t>5、如涉及保险理赔/追偿问题，建议保存好现有财物残值。</w:t>
      </w:r>
    </w:p>
    <w:p>
      <w:pPr>
        <w:pStyle w:val="99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w:t>
      </w:r>
      <w:r>
        <w:rPr>
          <w:rFonts w:ascii="黑体" w:cs="黑体" w:eastAsia="黑体" w:hAnsi="黑体" w:hint="eastAsia"/>
          <w:sz w:val="32"/>
          <w:szCs w:val="32"/>
          <w:lang w:bidi="ar" w:eastAsia="zh-CN" w:val="en-US"/>
        </w:rPr>
        <w:t xml:space="preserve">三</w:t>
      </w:r>
      <w:r>
        <w:rPr>
          <w:rFonts w:ascii="黑体" w:cs="黑体" w:eastAsia="黑体" w:hAnsi="黑体" w:hint="eastAsia"/>
          <w:sz w:val="32"/>
          <w:szCs w:val="32"/>
          <w:lang w:bidi="ar"/>
        </w:rPr>
        <w:t xml:space="preserve">、</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2025年04月21日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w:t>
      </w:r>
      <w:r>
        <w:rPr>
          <w:rFonts w:ascii="黑体" w:cs="黑体" w:eastAsia="黑体" w:hAnsi="黑体" w:hint="eastAsia"/>
          <w:bCs/>
          <w:sz w:val="32"/>
          <w:szCs w:val="32"/>
          <w:lang w:eastAsia="zh-CN" w:val="en-US"/>
        </w:rPr>
        <w:t xml:space="preserve">四</w:t>
      </w:r>
      <w:r>
        <w:rPr>
          <w:rFonts w:ascii="黑体" w:cs="黑体" w:eastAsia="黑体" w:hAnsi="黑体" w:hint="eastAsia"/>
          <w:bCs/>
          <w:sz w:val="32"/>
          <w:szCs w:val="32"/>
        </w:rPr>
        <w:t xml:space="preserve">、鉴定评估人员及复核人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center"/>
        <w:keepLines w:val="false"/>
        <w:keepNext w:val="false"/>
        <w:pageBreakBefore w:val="false"/>
        <w:spacing w:afterAutospacing="0" w:line="360" w:lineRule="auto"/>
        <w:shd w:color="auto" w:fill="auto" w:val="clear"/>
        <w:tabs>
          <w:tab w:leader="none" w:pos="4830" w:val="left"/>
        </w:tabs>
        <w:rPr>
          <w:rFonts w:ascii="宋体" w:cs="宋体" w:eastAsia="宋体" w:hAnsi="宋体" w:hint="eastAsia"/>
          <w:sz w:val="30"/>
          <w:szCs w:val="30"/>
        </w:rPr>
      </w:pP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 xml:space="preserve">复核人：（签字）</w:t>
      </w:r>
      <w:r/>
    </w:p>
    <w:p>
      <w:pPr>
        <w:ind w:firstLine="1059" w:left="0" w:right="1344"/>
        <w:jc w:val="center"/>
        <w:keepLines w:val="false"/>
        <w:keepNext w:val="false"/>
        <w:pageBreakBefore w:val="false"/>
        <w:spacing w:afterAutospacing="0" w:line="360" w:lineRule="auto"/>
        <w:shd w:color="auto" w:fill="auto" w:val="clear"/>
        <w:tabs>
          <w:tab w:leader="none" w:pos="4840" w:val="left"/>
        </w:tabs>
        <w:rPr>
          <w:rFonts w:ascii="宋体" w:cs="宋体" w:eastAsia="宋体" w:hAnsi="宋体"/>
          <w:sz w:val="30"/>
          <w:szCs w:val="30"/>
        </w:rPr>
      </w:pP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天津永信机动车鉴定评估有限公司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2024年04月22日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1"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微软雅黑">
    <w:panose1 w:val="020B0503020204020204"/>
  </w:font>
  <w:font w:name="Calibri">
    <w:panose1 w:val="020B0503020204020204"/>
  </w:font>
  <w:font w:name="Arial">
    <w:panose1 w:val="020B0604020202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97"/>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99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97"/>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99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t xml:space="preserve">天津永信机动车鉴定评估有限公司</w:t>
    </w:r>
    <w:r>
      <w:rPr>
        <w:rFonts w:hint="eastAsia"/>
        <w:sz w:val="21"/>
      </w:rPr>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97"/>
      <w:ind w:right="360"/>
      <w:rPr>
        <w:rFonts w:eastAsia="等线" w:hint="eastAsia"/>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6432" simplePos="0">
              <wp:simplePos x="0" y="0"/>
              <wp:positionH relativeFrom="margin">
                <wp:align>right</wp:align>
              </wp:positionH>
              <wp:positionV relativeFrom="paragraph">
                <wp:posOffset>0</wp:posOffset>
              </wp:positionV>
              <wp:extent cx="1828800" cy="1828800"/>
              <wp:effectExtent b="0" l="0" r="0" t="0"/>
              <wp:wrapNone/>
              <wp:docPr hidden="0" id="5" name="文本框 9"/>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97"/>
                          </w:pPr>
                          <w:r>
                            <w:fldChar w:fldCharType="begin"/>
                          </w:r>
                          <w:r>
                            <w:instrText xml:space="preserve"> PAGE  \* MERGEFORMAT </w:instrText>
                          </w:r>
                          <w:r>
                            <w:fldChar w:fldCharType="separate"/>
                          </w:r>
                          <w:r>
                            <w:t xml:space="preserve">7</w:t>
                          </w:r>
                          <w: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6432;o:allowoverlap:true;o:allowincell:true;mso-position-horizontal-relative:margin;mso-position-horizontal:right;mso-position-vertical-relative:text;margin-top:0.0pt;mso-position-vertical:absolute;width:144.0pt;height:144.0pt;v-text-anchor:top;">
              <v:path textboxrect="0,0,0,0"/>
              <v:textbox>
                <w:txbxContent>
                  <w:p>
                    <w:pPr>
                      <w:pStyle w:val="997"/>
                    </w:pPr>
                    <w:r>
                      <w:fldChar w:fldCharType="begin"/>
                    </w:r>
                    <w:r>
                      <w:instrText xml:space="preserve"> PAGE  \* MERGEFORMAT </w:instrText>
                    </w:r>
                    <w:r>
                      <w:fldChar w:fldCharType="separate"/>
                    </w:r>
                    <w:r>
                      <w:t xml:space="preserve">7</w:t>
                    </w:r>
                    <w: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0" id="6"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99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7"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rPr>
        <w:rFonts w:hint="eastAsia"/>
        <w:sz w:val="21"/>
        <w:lang w:eastAsia="zh-CN" w:val="en-US"/>
      </w:rPr>
      <w:t xml:space="preserve">·</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5"/>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abstractNum w:abstractNumId="1">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1"/>
  </w:num>
  <w:num w:numId="2">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89" w:type="paragraph">
    <w:name w:val="table of figures"/>
    <w:basedOn w:val="994"/>
    <w:next w:val="994"/>
    <w:uiPriority w:val="99"/>
    <w:unhideWhenUsed/>
    <w:pPr>
      <w:spacing w:after="0" w:afterAutospacing="0"/>
    </w:pPr>
  </w:style>
  <w:style w:styleId="820" w:type="paragraph">
    <w:name w:val="Heading 1"/>
    <w:basedOn w:val="994"/>
    <w:next w:val="994"/>
    <w:link w:val="821"/>
    <w:qFormat/>
    <w:uiPriority w:val="9"/>
    <w:rPr>
      <w:rFonts w:ascii="Arial" w:cs="Arial" w:eastAsia="Arial" w:hAnsi="Arial"/>
      <w:sz w:val="40"/>
      <w:szCs w:val="40"/>
    </w:rPr>
    <w:pPr>
      <w:keepLines/>
      <w:keepNext/>
      <w:spacing w:after="200" w:before="480"/>
      <w:outlineLvl w:val="0"/>
    </w:pPr>
  </w:style>
  <w:style w:styleId="821" w:type="character">
    <w:name w:val="Heading 1 Char"/>
    <w:basedOn w:val="995"/>
    <w:link w:val="820"/>
    <w:uiPriority w:val="9"/>
    <w:rPr>
      <w:rFonts w:ascii="Arial" w:cs="Arial" w:eastAsia="Arial" w:hAnsi="Arial"/>
      <w:sz w:val="40"/>
      <w:szCs w:val="40"/>
    </w:rPr>
  </w:style>
  <w:style w:styleId="822" w:type="paragraph">
    <w:name w:val="Heading 2"/>
    <w:basedOn w:val="994"/>
    <w:next w:val="994"/>
    <w:link w:val="823"/>
    <w:qFormat/>
    <w:uiPriority w:val="9"/>
    <w:unhideWhenUsed/>
    <w:rPr>
      <w:rFonts w:ascii="Arial" w:cs="Arial" w:eastAsia="Arial" w:hAnsi="Arial"/>
      <w:sz w:val="34"/>
    </w:rPr>
    <w:pPr>
      <w:keepLines/>
      <w:keepNext/>
      <w:spacing w:after="200" w:before="360"/>
      <w:outlineLvl w:val="1"/>
    </w:pPr>
  </w:style>
  <w:style w:styleId="823" w:type="character">
    <w:name w:val="Heading 2 Char"/>
    <w:basedOn w:val="995"/>
    <w:link w:val="822"/>
    <w:uiPriority w:val="9"/>
    <w:rPr>
      <w:rFonts w:ascii="Arial" w:cs="Arial" w:eastAsia="Arial" w:hAnsi="Arial"/>
      <w:sz w:val="34"/>
    </w:rPr>
  </w:style>
  <w:style w:styleId="824" w:type="paragraph">
    <w:name w:val="Heading 3"/>
    <w:basedOn w:val="994"/>
    <w:next w:val="994"/>
    <w:link w:val="825"/>
    <w:qFormat/>
    <w:uiPriority w:val="9"/>
    <w:unhideWhenUsed/>
    <w:rPr>
      <w:rFonts w:ascii="Arial" w:cs="Arial" w:eastAsia="Arial" w:hAnsi="Arial"/>
      <w:sz w:val="30"/>
      <w:szCs w:val="30"/>
    </w:rPr>
    <w:pPr>
      <w:keepLines/>
      <w:keepNext/>
      <w:spacing w:after="200" w:before="320"/>
      <w:outlineLvl w:val="2"/>
    </w:pPr>
  </w:style>
  <w:style w:styleId="825" w:type="character">
    <w:name w:val="Heading 3 Char"/>
    <w:basedOn w:val="995"/>
    <w:link w:val="824"/>
    <w:uiPriority w:val="9"/>
    <w:rPr>
      <w:rFonts w:ascii="Arial" w:cs="Arial" w:eastAsia="Arial" w:hAnsi="Arial"/>
      <w:sz w:val="30"/>
      <w:szCs w:val="30"/>
    </w:rPr>
  </w:style>
  <w:style w:styleId="826" w:type="paragraph">
    <w:name w:val="Heading 4"/>
    <w:basedOn w:val="994"/>
    <w:next w:val="994"/>
    <w:link w:val="827"/>
    <w:qFormat/>
    <w:uiPriority w:val="9"/>
    <w:unhideWhenUsed/>
    <w:rPr>
      <w:rFonts w:ascii="Arial" w:cs="Arial" w:eastAsia="Arial" w:hAnsi="Arial"/>
      <w:b/>
      <w:bCs/>
      <w:sz w:val="26"/>
      <w:szCs w:val="26"/>
    </w:rPr>
    <w:pPr>
      <w:keepLines/>
      <w:keepNext/>
      <w:spacing w:after="200" w:before="320"/>
      <w:outlineLvl w:val="3"/>
    </w:pPr>
  </w:style>
  <w:style w:styleId="827" w:type="character">
    <w:name w:val="Heading 4 Char"/>
    <w:basedOn w:val="995"/>
    <w:link w:val="826"/>
    <w:uiPriority w:val="9"/>
    <w:rPr>
      <w:rFonts w:ascii="Arial" w:cs="Arial" w:eastAsia="Arial" w:hAnsi="Arial"/>
      <w:b/>
      <w:bCs/>
      <w:sz w:val="26"/>
      <w:szCs w:val="26"/>
    </w:rPr>
  </w:style>
  <w:style w:styleId="828" w:type="paragraph">
    <w:name w:val="Heading 5"/>
    <w:basedOn w:val="994"/>
    <w:next w:val="994"/>
    <w:link w:val="829"/>
    <w:qFormat/>
    <w:uiPriority w:val="9"/>
    <w:unhideWhenUsed/>
    <w:rPr>
      <w:rFonts w:ascii="Arial" w:cs="Arial" w:eastAsia="Arial" w:hAnsi="Arial"/>
      <w:b/>
      <w:bCs/>
      <w:sz w:val="24"/>
      <w:szCs w:val="24"/>
    </w:rPr>
    <w:pPr>
      <w:keepLines/>
      <w:keepNext/>
      <w:spacing w:after="200" w:before="320"/>
      <w:outlineLvl w:val="4"/>
    </w:pPr>
  </w:style>
  <w:style w:styleId="829" w:type="character">
    <w:name w:val="Heading 5 Char"/>
    <w:basedOn w:val="995"/>
    <w:link w:val="828"/>
    <w:uiPriority w:val="9"/>
    <w:rPr>
      <w:rFonts w:ascii="Arial" w:cs="Arial" w:eastAsia="Arial" w:hAnsi="Arial"/>
      <w:b/>
      <w:bCs/>
      <w:sz w:val="24"/>
      <w:szCs w:val="24"/>
    </w:rPr>
  </w:style>
  <w:style w:styleId="830" w:type="paragraph">
    <w:name w:val="Heading 6"/>
    <w:basedOn w:val="994"/>
    <w:next w:val="994"/>
    <w:link w:val="831"/>
    <w:qFormat/>
    <w:uiPriority w:val="9"/>
    <w:unhideWhenUsed/>
    <w:rPr>
      <w:rFonts w:ascii="Arial" w:cs="Arial" w:eastAsia="Arial" w:hAnsi="Arial"/>
      <w:b/>
      <w:bCs/>
      <w:sz w:val="22"/>
      <w:szCs w:val="22"/>
    </w:rPr>
    <w:pPr>
      <w:keepLines/>
      <w:keepNext/>
      <w:spacing w:after="200" w:before="320"/>
      <w:outlineLvl w:val="5"/>
    </w:pPr>
  </w:style>
  <w:style w:styleId="831" w:type="character">
    <w:name w:val="Heading 6 Char"/>
    <w:basedOn w:val="995"/>
    <w:link w:val="830"/>
    <w:uiPriority w:val="9"/>
    <w:rPr>
      <w:rFonts w:ascii="Arial" w:cs="Arial" w:eastAsia="Arial" w:hAnsi="Arial"/>
      <w:b/>
      <w:bCs/>
      <w:sz w:val="22"/>
      <w:szCs w:val="22"/>
    </w:rPr>
  </w:style>
  <w:style w:styleId="832" w:type="paragraph">
    <w:name w:val="Heading 7"/>
    <w:basedOn w:val="994"/>
    <w:next w:val="994"/>
    <w:link w:val="833"/>
    <w:qFormat/>
    <w:uiPriority w:val="9"/>
    <w:unhideWhenUsed/>
    <w:rPr>
      <w:rFonts w:ascii="Arial" w:cs="Arial" w:eastAsia="Arial" w:hAnsi="Arial"/>
      <w:b/>
      <w:bCs/>
      <w:i/>
      <w:iCs/>
      <w:sz w:val="22"/>
      <w:szCs w:val="22"/>
    </w:rPr>
    <w:pPr>
      <w:keepLines/>
      <w:keepNext/>
      <w:spacing w:after="200" w:before="320"/>
      <w:outlineLvl w:val="6"/>
    </w:pPr>
  </w:style>
  <w:style w:styleId="833" w:type="character">
    <w:name w:val="Heading 7 Char"/>
    <w:basedOn w:val="995"/>
    <w:link w:val="832"/>
    <w:uiPriority w:val="9"/>
    <w:rPr>
      <w:rFonts w:ascii="Arial" w:cs="Arial" w:eastAsia="Arial" w:hAnsi="Arial"/>
      <w:b/>
      <w:bCs/>
      <w:i/>
      <w:iCs/>
      <w:sz w:val="22"/>
      <w:szCs w:val="22"/>
    </w:rPr>
  </w:style>
  <w:style w:styleId="834" w:type="paragraph">
    <w:name w:val="Heading 8"/>
    <w:basedOn w:val="994"/>
    <w:next w:val="994"/>
    <w:link w:val="835"/>
    <w:qFormat/>
    <w:uiPriority w:val="9"/>
    <w:unhideWhenUsed/>
    <w:rPr>
      <w:rFonts w:ascii="Arial" w:cs="Arial" w:eastAsia="Arial" w:hAnsi="Arial"/>
      <w:i/>
      <w:iCs/>
      <w:sz w:val="22"/>
      <w:szCs w:val="22"/>
    </w:rPr>
    <w:pPr>
      <w:keepLines/>
      <w:keepNext/>
      <w:spacing w:after="200" w:before="320"/>
      <w:outlineLvl w:val="7"/>
    </w:pPr>
  </w:style>
  <w:style w:styleId="835" w:type="character">
    <w:name w:val="Heading 8 Char"/>
    <w:basedOn w:val="995"/>
    <w:link w:val="834"/>
    <w:uiPriority w:val="9"/>
    <w:rPr>
      <w:rFonts w:ascii="Arial" w:cs="Arial" w:eastAsia="Arial" w:hAnsi="Arial"/>
      <w:i/>
      <w:iCs/>
      <w:sz w:val="22"/>
      <w:szCs w:val="22"/>
    </w:rPr>
  </w:style>
  <w:style w:styleId="836" w:type="paragraph">
    <w:name w:val="Heading 9"/>
    <w:basedOn w:val="994"/>
    <w:next w:val="994"/>
    <w:link w:val="837"/>
    <w:qFormat/>
    <w:uiPriority w:val="9"/>
    <w:unhideWhenUsed/>
    <w:rPr>
      <w:rFonts w:ascii="Arial" w:cs="Arial" w:eastAsia="Arial" w:hAnsi="Arial"/>
      <w:i/>
      <w:iCs/>
      <w:sz w:val="21"/>
      <w:szCs w:val="21"/>
    </w:rPr>
    <w:pPr>
      <w:keepLines/>
      <w:keepNext/>
      <w:spacing w:after="200" w:before="320"/>
      <w:outlineLvl w:val="8"/>
    </w:pPr>
  </w:style>
  <w:style w:styleId="837" w:type="character">
    <w:name w:val="Heading 9 Char"/>
    <w:basedOn w:val="995"/>
    <w:link w:val="836"/>
    <w:uiPriority w:val="9"/>
    <w:rPr>
      <w:rFonts w:ascii="Arial" w:cs="Arial" w:eastAsia="Arial" w:hAnsi="Arial"/>
      <w:i/>
      <w:iCs/>
      <w:sz w:val="21"/>
      <w:szCs w:val="21"/>
    </w:rPr>
  </w:style>
  <w:style w:styleId="838" w:type="paragraph">
    <w:name w:val="List Paragraph"/>
    <w:basedOn w:val="994"/>
    <w:qFormat/>
    <w:uiPriority w:val="34"/>
    <w:pPr>
      <w:contextualSpacing w:val="true"/>
      <w:ind w:left="720"/>
    </w:pPr>
  </w:style>
  <w:style w:styleId="839" w:type="paragraph">
    <w:name w:val="No Spacing"/>
    <w:qFormat/>
    <w:uiPriority w:val="1"/>
    <w:pPr>
      <w:spacing w:after="0" w:before="0" w:line="240" w:lineRule="auto"/>
    </w:pPr>
  </w:style>
  <w:style w:styleId="840" w:type="paragraph">
    <w:name w:val="Title"/>
    <w:basedOn w:val="994"/>
    <w:next w:val="994"/>
    <w:link w:val="841"/>
    <w:qFormat/>
    <w:uiPriority w:val="10"/>
    <w:rPr>
      <w:sz w:val="48"/>
      <w:szCs w:val="48"/>
    </w:rPr>
    <w:pPr>
      <w:contextualSpacing w:val="true"/>
      <w:spacing w:after="200" w:before="300"/>
    </w:pPr>
  </w:style>
  <w:style w:styleId="841" w:type="character">
    <w:name w:val="Title Char"/>
    <w:basedOn w:val="995"/>
    <w:link w:val="840"/>
    <w:uiPriority w:val="10"/>
    <w:rPr>
      <w:sz w:val="48"/>
      <w:szCs w:val="48"/>
    </w:rPr>
  </w:style>
  <w:style w:styleId="842" w:type="paragraph">
    <w:name w:val="Subtitle"/>
    <w:basedOn w:val="994"/>
    <w:next w:val="994"/>
    <w:link w:val="843"/>
    <w:qFormat/>
    <w:uiPriority w:val="11"/>
    <w:rPr>
      <w:sz w:val="24"/>
      <w:szCs w:val="24"/>
    </w:rPr>
    <w:pPr>
      <w:spacing w:after="200" w:before="200"/>
    </w:pPr>
  </w:style>
  <w:style w:styleId="843" w:type="character">
    <w:name w:val="Subtitle Char"/>
    <w:basedOn w:val="995"/>
    <w:link w:val="842"/>
    <w:uiPriority w:val="11"/>
    <w:rPr>
      <w:sz w:val="24"/>
      <w:szCs w:val="24"/>
    </w:rPr>
  </w:style>
  <w:style w:styleId="844" w:type="paragraph">
    <w:name w:val="Quote"/>
    <w:basedOn w:val="994"/>
    <w:next w:val="994"/>
    <w:link w:val="845"/>
    <w:qFormat/>
    <w:uiPriority w:val="29"/>
    <w:rPr>
      <w:i/>
    </w:rPr>
    <w:pPr>
      <w:ind w:left="720" w:right="720"/>
    </w:pPr>
  </w:style>
  <w:style w:styleId="845" w:type="character">
    <w:name w:val="Quote Char"/>
    <w:link w:val="844"/>
    <w:uiPriority w:val="29"/>
    <w:rPr>
      <w:i/>
    </w:rPr>
  </w:style>
  <w:style w:styleId="846" w:type="paragraph">
    <w:name w:val="Intense Quote"/>
    <w:basedOn w:val="994"/>
    <w:next w:val="994"/>
    <w:link w:val="847"/>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847" w:type="character">
    <w:name w:val="Intense Quote Char"/>
    <w:link w:val="846"/>
    <w:uiPriority w:val="30"/>
    <w:rPr>
      <w:i/>
    </w:rPr>
  </w:style>
  <w:style w:styleId="848" w:type="character">
    <w:name w:val="Header Char"/>
    <w:basedOn w:val="995"/>
    <w:link w:val="998"/>
    <w:uiPriority w:val="99"/>
  </w:style>
  <w:style w:styleId="849" w:type="character">
    <w:name w:val="Footer Char"/>
    <w:basedOn w:val="995"/>
    <w:link w:val="997"/>
    <w:uiPriority w:val="99"/>
  </w:style>
  <w:style w:styleId="850" w:type="paragraph">
    <w:name w:val="Caption"/>
    <w:basedOn w:val="994"/>
    <w:next w:val="994"/>
    <w:qFormat/>
    <w:uiPriority w:val="35"/>
    <w:semiHidden/>
    <w:unhideWhenUsed/>
    <w:rPr>
      <w:b/>
      <w:bCs/>
      <w:color w:themeColor="accent1" w:val="4F81BD"/>
      <w:sz w:val="18"/>
      <w:szCs w:val="18"/>
    </w:rPr>
    <w:pPr>
      <w:spacing w:line="276" w:lineRule="auto"/>
    </w:pPr>
  </w:style>
  <w:style w:styleId="851" w:type="character">
    <w:name w:val="Caption Char"/>
    <w:basedOn w:val="850"/>
    <w:link w:val="997"/>
    <w:uiPriority w:val="99"/>
  </w:style>
  <w:style w:styleId="852" w:type="table">
    <w:name w:val="Table Grid Light"/>
    <w:basedOn w:val="99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853" w:type="table">
    <w:name w:val="Plain Table 1"/>
    <w:basedOn w:val="99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854" w:type="table">
    <w:name w:val="Plain Table 2"/>
    <w:basedOn w:val="99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855" w:type="table">
    <w:name w:val="Plain Table 3"/>
    <w:basedOn w:val="99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856" w:type="table">
    <w:name w:val="Plain Table 4"/>
    <w:basedOn w:val="99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857" w:type="table">
    <w:name w:val="Plain Table 5"/>
    <w:basedOn w:val="99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858" w:type="table">
    <w:name w:val="Grid Table 1 Light"/>
    <w:basedOn w:val="99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859" w:type="table">
    <w:name w:val="Grid Table 1 Light - Accent 1"/>
    <w:basedOn w:val="99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860" w:type="table">
    <w:name w:val="Grid Table 1 Light - Accent 2"/>
    <w:basedOn w:val="99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861" w:type="table">
    <w:name w:val="Grid Table 1 Light - Accent 3"/>
    <w:basedOn w:val="99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862" w:type="table">
    <w:name w:val="Grid Table 1 Light - Accent 4"/>
    <w:basedOn w:val="99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863" w:type="table">
    <w:name w:val="Grid Table 1 Light - Accent 5"/>
    <w:basedOn w:val="99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864" w:type="table">
    <w:name w:val="Grid Table 1 Light - Accent 6"/>
    <w:basedOn w:val="99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865" w:type="table">
    <w:name w:val="Grid Table 2"/>
    <w:basedOn w:val="99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866" w:type="table">
    <w:name w:val="Grid Table 2 - Accent 1"/>
    <w:basedOn w:val="99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867" w:type="table">
    <w:name w:val="Grid Table 2 - Accent 2"/>
    <w:basedOn w:val="99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868" w:type="table">
    <w:name w:val="Grid Table 2 - Accent 3"/>
    <w:basedOn w:val="99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869" w:type="table">
    <w:name w:val="Grid Table 2 - Accent 4"/>
    <w:basedOn w:val="99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870" w:type="table">
    <w:name w:val="Grid Table 2 - Accent 5"/>
    <w:basedOn w:val="99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871" w:type="table">
    <w:name w:val="Grid Table 2 - Accent 6"/>
    <w:basedOn w:val="99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872" w:type="table">
    <w:name w:val="Grid Table 3"/>
    <w:basedOn w:val="99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73" w:type="table">
    <w:name w:val="Grid Table 3 - Accent 1"/>
    <w:basedOn w:val="99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74" w:type="table">
    <w:name w:val="Grid Table 3 - Accent 2"/>
    <w:basedOn w:val="99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75" w:type="table">
    <w:name w:val="Grid Table 3 - Accent 3"/>
    <w:basedOn w:val="99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76" w:type="table">
    <w:name w:val="Grid Table 3 - Accent 4"/>
    <w:basedOn w:val="99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77" w:type="table">
    <w:name w:val="Grid Table 3 - Accent 5"/>
    <w:basedOn w:val="99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78" w:type="table">
    <w:name w:val="Grid Table 3 - Accent 6"/>
    <w:basedOn w:val="99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79" w:type="table">
    <w:name w:val="Grid Table 4"/>
    <w:basedOn w:val="99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880" w:type="table">
    <w:name w:val="Grid Table 4 - Accent 1"/>
    <w:basedOn w:val="99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881" w:type="table">
    <w:name w:val="Grid Table 4 - Accent 2"/>
    <w:basedOn w:val="99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882" w:type="table">
    <w:name w:val="Grid Table 4 - Accent 3"/>
    <w:basedOn w:val="99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883" w:type="table">
    <w:name w:val="Grid Table 4 - Accent 4"/>
    <w:basedOn w:val="99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884" w:type="table">
    <w:name w:val="Grid Table 4 - Accent 5"/>
    <w:basedOn w:val="99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85" w:type="table">
    <w:name w:val="Grid Table 4 - Accent 6"/>
    <w:basedOn w:val="99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86" w:type="table">
    <w:name w:val="Grid Table 5 Dark"/>
    <w:basedOn w:val="9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87" w:type="table">
    <w:name w:val="Grid Table 5 Dark- Accent 1"/>
    <w:basedOn w:val="9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88" w:type="table">
    <w:name w:val="Grid Table 5 Dark - Accent 2"/>
    <w:basedOn w:val="9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89" w:type="table">
    <w:name w:val="Grid Table 5 Dark - Accent 3"/>
    <w:basedOn w:val="9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90" w:type="table">
    <w:name w:val="Grid Table 5 Dark- Accent 4"/>
    <w:basedOn w:val="9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91" w:type="table">
    <w:name w:val="Grid Table 5 Dark - Accent 5"/>
    <w:basedOn w:val="9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92" w:type="table">
    <w:name w:val="Grid Table 5 Dark - Accent 6"/>
    <w:basedOn w:val="9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93" w:type="table">
    <w:name w:val="Grid Table 6 Colorful"/>
    <w:basedOn w:val="99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94" w:type="table">
    <w:name w:val="Grid Table 6 Colorful - Accent 1"/>
    <w:basedOn w:val="99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895" w:type="table">
    <w:name w:val="Grid Table 6 Colorful - Accent 2"/>
    <w:basedOn w:val="99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896" w:type="table">
    <w:name w:val="Grid Table 6 Colorful - Accent 3"/>
    <w:basedOn w:val="99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897" w:type="table">
    <w:name w:val="Grid Table 6 Colorful - Accent 4"/>
    <w:basedOn w:val="99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898" w:type="table">
    <w:name w:val="Grid Table 6 Colorful - Accent 5"/>
    <w:basedOn w:val="99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899" w:type="table">
    <w:name w:val="Grid Table 6 Colorful - Accent 6"/>
    <w:basedOn w:val="99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00" w:type="table">
    <w:name w:val="Grid Table 7 Colorful"/>
    <w:basedOn w:val="99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901" w:type="table">
    <w:name w:val="Grid Table 7 Colorful - Accent 1"/>
    <w:basedOn w:val="99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664A9"/>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664A9"/>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902" w:type="table">
    <w:name w:val="Grid Table 7 Colorful - Accent 2"/>
    <w:basedOn w:val="99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C95712"/>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C95712"/>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903" w:type="table">
    <w:name w:val="Grid Table 7 Colorful - Accent 3"/>
    <w:basedOn w:val="99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606060"/>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606060"/>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904" w:type="table">
    <w:name w:val="Grid Table 7 Colorful - Accent 4"/>
    <w:basedOn w:val="99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CD9600"/>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CD9600"/>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905" w:type="table">
    <w:name w:val="Grid Table 7 Colorful - Accent 5"/>
    <w:basedOn w:val="99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45D8D"/>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45D8D"/>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906" w:type="table">
    <w:name w:val="Grid Table 7 Colorful - Accent 6"/>
    <w:basedOn w:val="99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426429"/>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426429"/>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907" w:type="table">
    <w:name w:val="List Table 1 Light"/>
    <w:basedOn w:val="996"/>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908" w:type="table">
    <w:name w:val="List Table 1 Light - Accent 1"/>
    <w:basedOn w:val="996"/>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909" w:type="table">
    <w:name w:val="List Table 1 Light - Accent 2"/>
    <w:basedOn w:val="996"/>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910" w:type="table">
    <w:name w:val="List Table 1 Light - Accent 3"/>
    <w:basedOn w:val="996"/>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911" w:type="table">
    <w:name w:val="List Table 1 Light - Accent 4"/>
    <w:basedOn w:val="996"/>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912" w:type="table">
    <w:name w:val="List Table 1 Light - Accent 5"/>
    <w:basedOn w:val="996"/>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913" w:type="table">
    <w:name w:val="List Table 1 Light - Accent 6"/>
    <w:basedOn w:val="996"/>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914" w:type="table">
    <w:name w:val="List Table 2"/>
    <w:basedOn w:val="99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915" w:type="table">
    <w:name w:val="List Table 2 - Accent 1"/>
    <w:basedOn w:val="99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916" w:type="table">
    <w:name w:val="List Table 2 - Accent 2"/>
    <w:basedOn w:val="99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917" w:type="table">
    <w:name w:val="List Table 2 - Accent 3"/>
    <w:basedOn w:val="99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918" w:type="table">
    <w:name w:val="List Table 2 - Accent 4"/>
    <w:basedOn w:val="99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919" w:type="table">
    <w:name w:val="List Table 2 - Accent 5"/>
    <w:basedOn w:val="99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920" w:type="table">
    <w:name w:val="List Table 2 - Accent 6"/>
    <w:basedOn w:val="99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921" w:type="table">
    <w:name w:val="List Table 3"/>
    <w:basedOn w:val="99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22" w:type="table">
    <w:name w:val="List Table 3 - Accent 1"/>
    <w:basedOn w:val="99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23" w:type="table">
    <w:name w:val="List Table 3 - Accent 2"/>
    <w:basedOn w:val="99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24" w:type="table">
    <w:name w:val="List Table 3 - Accent 3"/>
    <w:basedOn w:val="99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25" w:type="table">
    <w:name w:val="List Table 3 - Accent 4"/>
    <w:basedOn w:val="99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26" w:type="table">
    <w:name w:val="List Table 3 - Accent 5"/>
    <w:basedOn w:val="99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27" w:type="table">
    <w:name w:val="List Table 3 - Accent 6"/>
    <w:basedOn w:val="99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28" w:type="table">
    <w:name w:val="List Table 4"/>
    <w:basedOn w:val="99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29" w:type="table">
    <w:name w:val="List Table 4 - Accent 1"/>
    <w:basedOn w:val="99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30" w:type="table">
    <w:name w:val="List Table 4 - Accent 2"/>
    <w:basedOn w:val="99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31" w:type="table">
    <w:name w:val="List Table 4 - Accent 3"/>
    <w:basedOn w:val="99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32" w:type="table">
    <w:name w:val="List Table 4 - Accent 4"/>
    <w:basedOn w:val="99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33" w:type="table">
    <w:name w:val="List Table 4 - Accent 5"/>
    <w:basedOn w:val="99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34" w:type="table">
    <w:name w:val="List Table 4 - Accent 6"/>
    <w:basedOn w:val="99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35" w:type="table">
    <w:name w:val="List Table 5 Dark"/>
    <w:basedOn w:val="99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36" w:type="table">
    <w:name w:val="List Table 5 Dark - Accent 1"/>
    <w:basedOn w:val="99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37" w:type="table">
    <w:name w:val="List Table 5 Dark - Accent 2"/>
    <w:basedOn w:val="99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38" w:type="table">
    <w:name w:val="List Table 5 Dark - Accent 3"/>
    <w:basedOn w:val="99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39" w:type="table">
    <w:name w:val="List Table 5 Dark - Accent 4"/>
    <w:basedOn w:val="99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40" w:type="table">
    <w:name w:val="List Table 5 Dark - Accent 5"/>
    <w:basedOn w:val="99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41" w:type="table">
    <w:name w:val="List Table 5 Dark - Accent 6"/>
    <w:basedOn w:val="99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42" w:type="table">
    <w:name w:val="List Table 6 Colorful"/>
    <w:basedOn w:val="99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943" w:type="table">
    <w:name w:val="List Table 6 Colorful - Accent 1"/>
    <w:basedOn w:val="99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944" w:type="table">
    <w:name w:val="List Table 6 Colorful - Accent 2"/>
    <w:basedOn w:val="99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945" w:type="table">
    <w:name w:val="List Table 6 Colorful - Accent 3"/>
    <w:basedOn w:val="99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946" w:type="table">
    <w:name w:val="List Table 6 Colorful - Accent 4"/>
    <w:basedOn w:val="99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947" w:type="table">
    <w:name w:val="List Table 6 Colorful - Accent 5"/>
    <w:basedOn w:val="99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948" w:type="table">
    <w:name w:val="List Table 6 Colorful - Accent 6"/>
    <w:basedOn w:val="99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949" w:type="table">
    <w:name w:val="List Table 7 Colorful"/>
    <w:basedOn w:val="99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950" w:type="table">
    <w:name w:val="List Table 7 Colorful - Accent 1"/>
    <w:basedOn w:val="99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54374"/>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54374"/>
        <w:sz w:val="22"/>
      </w:rPr>
      <w:tcPr>
        <w:shd w:color="FFFFFF"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54374"/>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54374"/>
        <w:sz w:val="22"/>
      </w:rPr>
    </w:tblStylePr>
  </w:style>
  <w:style w:styleId="951" w:type="table">
    <w:name w:val="List Table 7 Colorful - Accent 2"/>
    <w:basedOn w:val="99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C95712"/>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C95712"/>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C95712"/>
        <w:sz w:val="22"/>
      </w:rPr>
    </w:tblStylePr>
  </w:style>
  <w:style w:styleId="952" w:type="table">
    <w:name w:val="List Table 7 Colorful - Accent 3"/>
    <w:basedOn w:val="99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57575"/>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57575"/>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57575"/>
        <w:sz w:val="22"/>
      </w:rPr>
    </w:tblStylePr>
  </w:style>
  <w:style w:styleId="953" w:type="table">
    <w:name w:val="List Table 7 Colorful - Accent 4"/>
    <w:basedOn w:val="99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CD9600"/>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CD9600"/>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CD9600"/>
        <w:sz w:val="22"/>
      </w:rPr>
    </w:tblStylePr>
  </w:style>
  <w:style w:styleId="954" w:type="table">
    <w:name w:val="List Table 7 Colorful - Accent 5"/>
    <w:basedOn w:val="99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2E78B1"/>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2E78B1"/>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2E78B1"/>
        <w:sz w:val="22"/>
      </w:rPr>
    </w:tblStylePr>
  </w:style>
  <w:style w:styleId="955" w:type="table">
    <w:name w:val="List Table 7 Colorful - Accent 6"/>
    <w:basedOn w:val="99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5F8F3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5F8F3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5F8F3C"/>
        <w:sz w:val="22"/>
      </w:rPr>
    </w:tblStylePr>
  </w:style>
  <w:style w:styleId="956" w:type="table">
    <w:name w:val="Lined - Accent"/>
    <w:basedOn w:val="9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7" w:type="table">
    <w:name w:val="Lined - Accent 1"/>
    <w:basedOn w:val="9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8" w:type="table">
    <w:name w:val="Lined - Accent 2"/>
    <w:basedOn w:val="9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9" w:type="table">
    <w:name w:val="Lined - Accent 3"/>
    <w:basedOn w:val="9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60" w:type="table">
    <w:name w:val="Lined - Accent 4"/>
    <w:basedOn w:val="9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61" w:type="table">
    <w:name w:val="Lined - Accent 5"/>
    <w:basedOn w:val="9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62" w:type="table">
    <w:name w:val="Lined - Accent 6"/>
    <w:basedOn w:val="9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63" w:type="table">
    <w:name w:val="Bordered &amp; Lined - Accent"/>
    <w:basedOn w:val="99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64" w:type="table">
    <w:name w:val="Bordered &amp; Lined - Accent 1"/>
    <w:basedOn w:val="99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65" w:type="table">
    <w:name w:val="Bordered &amp; Lined - Accent 2"/>
    <w:basedOn w:val="99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66" w:type="table">
    <w:name w:val="Bordered &amp; Lined - Accent 3"/>
    <w:basedOn w:val="99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67" w:type="table">
    <w:name w:val="Bordered &amp; Lined - Accent 4"/>
    <w:basedOn w:val="99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68" w:type="table">
    <w:name w:val="Bordered &amp; Lined - Accent 5"/>
    <w:basedOn w:val="99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69" w:type="table">
    <w:name w:val="Bordered &amp; Lined - Accent 6"/>
    <w:basedOn w:val="99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70" w:type="table">
    <w:name w:val="Bordered"/>
    <w:basedOn w:val="99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971" w:type="table">
    <w:name w:val="Bordered - Accent 1"/>
    <w:basedOn w:val="99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972" w:type="table">
    <w:name w:val="Bordered - Accent 2"/>
    <w:basedOn w:val="99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973" w:type="table">
    <w:name w:val="Bordered - Accent 3"/>
    <w:basedOn w:val="99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974" w:type="table">
    <w:name w:val="Bordered - Accent 4"/>
    <w:basedOn w:val="99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975" w:type="table">
    <w:name w:val="Bordered - Accent 5"/>
    <w:basedOn w:val="99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976" w:type="table">
    <w:name w:val="Bordered - Accent 6"/>
    <w:basedOn w:val="99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977" w:type="character">
    <w:name w:val="Hyperlink"/>
    <w:uiPriority w:val="99"/>
    <w:unhideWhenUsed/>
    <w:rPr>
      <w:color w:themeColor="hyperlink" w:val="0000FF"/>
      <w:u w:val="single"/>
    </w:rPr>
  </w:style>
  <w:style w:styleId="978" w:type="paragraph">
    <w:name w:val="footnote text"/>
    <w:basedOn w:val="994"/>
    <w:link w:val="979"/>
    <w:uiPriority w:val="99"/>
    <w:semiHidden/>
    <w:unhideWhenUsed/>
    <w:rPr>
      <w:sz w:val="18"/>
    </w:rPr>
    <w:pPr>
      <w:spacing w:after="40" w:line="240" w:lineRule="auto"/>
    </w:pPr>
  </w:style>
  <w:style w:styleId="979" w:type="character">
    <w:name w:val="Footnote Text Char"/>
    <w:link w:val="978"/>
    <w:uiPriority w:val="99"/>
    <w:rPr>
      <w:sz w:val="18"/>
    </w:rPr>
  </w:style>
  <w:style w:styleId="980" w:type="character">
    <w:name w:val="footnote reference"/>
    <w:basedOn w:val="995"/>
    <w:uiPriority w:val="99"/>
    <w:unhideWhenUsed/>
    <w:rPr>
      <w:vertAlign w:val="superscript"/>
    </w:rPr>
  </w:style>
  <w:style w:styleId="981" w:type="paragraph">
    <w:name w:val="endnote text"/>
    <w:basedOn w:val="994"/>
    <w:link w:val="982"/>
    <w:uiPriority w:val="99"/>
    <w:semiHidden/>
    <w:unhideWhenUsed/>
    <w:rPr>
      <w:sz w:val="20"/>
    </w:rPr>
    <w:pPr>
      <w:spacing w:after="0" w:line="240" w:lineRule="auto"/>
    </w:pPr>
  </w:style>
  <w:style w:styleId="982" w:type="character">
    <w:name w:val="Endnote Text Char"/>
    <w:link w:val="981"/>
    <w:uiPriority w:val="99"/>
    <w:rPr>
      <w:sz w:val="20"/>
    </w:rPr>
  </w:style>
  <w:style w:styleId="983" w:type="character">
    <w:name w:val="endnote reference"/>
    <w:basedOn w:val="995"/>
    <w:uiPriority w:val="99"/>
    <w:semiHidden/>
    <w:unhideWhenUsed/>
    <w:rPr>
      <w:vertAlign w:val="superscript"/>
    </w:rPr>
  </w:style>
  <w:style w:styleId="984" w:type="paragraph">
    <w:name w:val="toc 1"/>
    <w:basedOn w:val="994"/>
    <w:next w:val="994"/>
    <w:uiPriority w:val="39"/>
    <w:unhideWhenUsed/>
    <w:pPr>
      <w:ind w:firstLine="0" w:left="0" w:right="0"/>
      <w:spacing w:after="57"/>
    </w:pPr>
  </w:style>
  <w:style w:styleId="985" w:type="paragraph">
    <w:name w:val="toc 2"/>
    <w:basedOn w:val="994"/>
    <w:next w:val="994"/>
    <w:uiPriority w:val="39"/>
    <w:unhideWhenUsed/>
    <w:pPr>
      <w:ind w:firstLine="0" w:left="283" w:right="0"/>
      <w:spacing w:after="57"/>
    </w:pPr>
  </w:style>
  <w:style w:styleId="986" w:type="paragraph">
    <w:name w:val="toc 3"/>
    <w:basedOn w:val="994"/>
    <w:next w:val="994"/>
    <w:uiPriority w:val="39"/>
    <w:unhideWhenUsed/>
    <w:pPr>
      <w:ind w:firstLine="0" w:left="567" w:right="0"/>
      <w:spacing w:after="57"/>
    </w:pPr>
  </w:style>
  <w:style w:styleId="987" w:type="paragraph">
    <w:name w:val="toc 4"/>
    <w:basedOn w:val="994"/>
    <w:next w:val="994"/>
    <w:uiPriority w:val="39"/>
    <w:unhideWhenUsed/>
    <w:pPr>
      <w:ind w:firstLine="0" w:left="850" w:right="0"/>
      <w:spacing w:after="57"/>
    </w:pPr>
  </w:style>
  <w:style w:styleId="988" w:type="paragraph">
    <w:name w:val="toc 5"/>
    <w:basedOn w:val="994"/>
    <w:next w:val="994"/>
    <w:uiPriority w:val="39"/>
    <w:unhideWhenUsed/>
    <w:pPr>
      <w:ind w:firstLine="0" w:left="1134" w:right="0"/>
      <w:spacing w:after="57"/>
    </w:pPr>
  </w:style>
  <w:style w:styleId="989" w:type="paragraph">
    <w:name w:val="toc 6"/>
    <w:basedOn w:val="994"/>
    <w:next w:val="994"/>
    <w:uiPriority w:val="39"/>
    <w:unhideWhenUsed/>
    <w:pPr>
      <w:ind w:firstLine="0" w:left="1417" w:right="0"/>
      <w:spacing w:after="57"/>
    </w:pPr>
  </w:style>
  <w:style w:styleId="990" w:type="paragraph">
    <w:name w:val="toc 7"/>
    <w:basedOn w:val="994"/>
    <w:next w:val="994"/>
    <w:uiPriority w:val="39"/>
    <w:unhideWhenUsed/>
    <w:pPr>
      <w:ind w:firstLine="0" w:left="1701" w:right="0"/>
      <w:spacing w:after="57"/>
    </w:pPr>
  </w:style>
  <w:style w:styleId="991" w:type="paragraph">
    <w:name w:val="toc 8"/>
    <w:basedOn w:val="994"/>
    <w:next w:val="994"/>
    <w:uiPriority w:val="39"/>
    <w:unhideWhenUsed/>
    <w:pPr>
      <w:ind w:firstLine="0" w:left="1984" w:right="0"/>
      <w:spacing w:after="57"/>
    </w:pPr>
  </w:style>
  <w:style w:styleId="992" w:type="paragraph">
    <w:name w:val="toc 9"/>
    <w:basedOn w:val="994"/>
    <w:next w:val="994"/>
    <w:uiPriority w:val="39"/>
    <w:unhideWhenUsed/>
    <w:pPr>
      <w:ind w:firstLine="0" w:left="2268" w:right="0"/>
      <w:spacing w:after="57"/>
    </w:pPr>
  </w:style>
  <w:style w:styleId="993" w:type="paragraph">
    <w:name w:val="TOC Heading"/>
    <w:uiPriority w:val="39"/>
    <w:unhideWhenUsed/>
  </w:style>
  <w:style w:default="1" w:styleId="994"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995" w:type="character">
    <w:name w:val="Default Paragraph Font"/>
    <w:qFormat/>
    <w:uiPriority w:val="1"/>
    <w:unhideWhenUsed/>
  </w:style>
  <w:style w:default="1" w:styleId="996" w:type="table">
    <w:name w:val="Normal Table"/>
    <w:qFormat/>
    <w:uiPriority w:val="99"/>
    <w:unhideWhenUsed/>
    <w:tblPr>
      <w:tblCellMar>
        <w:left w:type="dxa" w:w="108"/>
        <w:top w:type="dxa" w:w="0"/>
        <w:right w:type="dxa" w:w="108"/>
        <w:bottom w:type="dxa" w:w="0"/>
      </w:tblCellMar>
    </w:tblPr>
  </w:style>
  <w:style w:styleId="997" w:type="paragraph">
    <w:name w:val="Footer"/>
    <w:basedOn w:val="994"/>
    <w:link w:val="1001"/>
    <w:qFormat/>
    <w:uiPriority w:val="99"/>
    <w:rPr>
      <w:rFonts w:ascii="等线" w:cs="等线" w:eastAsia="等线" w:hAnsi="等线"/>
      <w:sz w:val="18"/>
      <w:szCs w:val="18"/>
    </w:rPr>
    <w:pPr>
      <w:jc w:val="left"/>
      <w:tabs>
        <w:tab w:leader="none" w:pos="4153" w:val="center"/>
        <w:tab w:leader="none" w:pos="8306" w:val="right"/>
      </w:tabs>
    </w:pPr>
  </w:style>
  <w:style w:styleId="998" w:type="paragraph">
    <w:name w:val="Header"/>
    <w:basedOn w:val="9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999" w:type="paragraph">
    <w:name w:val="Normal (Web)"/>
    <w:basedOn w:val="994"/>
    <w:qFormat/>
    <w:uiPriority w:val="0"/>
    <w:rPr>
      <w:sz w:val="24"/>
    </w:rPr>
    <w:pPr>
      <w:jc w:val="left"/>
      <w:spacing w:after="100" w:afterAutospacing="1" w:before="100" w:beforeAutospacing="1"/>
    </w:pPr>
  </w:style>
  <w:style w:styleId="1000" w:type="table">
    <w:name w:val="Table Grid"/>
    <w:basedOn w:val="99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1001" w:type="character">
    <w:name w:val="页脚 字符"/>
    <w:link w:val="997"/>
    <w:qFormat/>
    <w:uiPriority w:val="99"/>
    <w:rPr>
      <w:sz w:val="18"/>
      <w:szCs w:val="18"/>
    </w:rPr>
  </w:style>
  <w:style w:customStyle="1" w:styleId="1002" w:type="character">
    <w:name w:val="页脚 字符1"/>
    <w:basedOn w:val="995"/>
    <w:qFormat/>
    <w:uiPriority w:val="99"/>
    <w:semiHidden/>
    <w:rPr>
      <w:rFonts w:ascii="Calibri" w:cs="Times New Roman" w:eastAsia="微软雅黑" w:hAnsi="Calibri"/>
      <w:sz w:val="18"/>
      <w:szCs w:val="18"/>
    </w:rPr>
  </w:style>
  <w:style w:default="1" w:styleId="100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2.xml" Type="http://schemas.openxmlformats.org/officeDocument/2006/relationships/footer"/><Relationship Id="rId11" Target="footer3.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footer1.xml" Type="http://schemas.openxmlformats.org/officeDocument/2006/relationships/foot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2020-11-03T12:54:00Z</dcterms:created>
  <dc:creator>li xingkai</dc:creator>
  <cp:lastModifiedBy>李兴凯</cp:lastModifiedBy>
  <dcterms:modified xsi:type="dcterms:W3CDTF">2023-04-29T05:30:07Z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767C1BFF8B114EB58E917DD6D9933C87</vt:lpwstr>
  </property>
</Properties>
</file>