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津永信鉴字2024第0001号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津AD19392长安牌SC7001ADBEV小型轿车车辆技术鉴定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平安大地(天津)法律咨询服务有限公司</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高惠文</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津AD19392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李兴凯、张鹏、王永艳</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天津永信机动车鉴定评估有限公司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平安大地(天津)法律咨询服务有限公司</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平安大地(天津)法律咨询服务有限公司</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津永信鉴字2024第0001号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平安大地(天津)法律咨询服务有限公司</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津AD19392</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LS5A3AJC3HB016443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平安大地(天津)法律咨询服务有限公司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高惠文</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津AD19392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长安牌SC7001ADBEV</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LS5A3AJC3HB016443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HDJ000390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2017年03月29日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2023年12月30日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1、《交通事故车辆安全技术检验鉴定》；</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1、委托协议/合同</w:t>
      </w:r>
      <w:r>
        <w:rPr>
          <w:rFonts w:ascii="宋体" w:eastAsia="宋体"/>
          <w:sz w:val="30"/>
        </w:rPr>
        <w:t xml:space="preserve">。</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津AD19392在河西区香年广场停车场内倒车不慎与地面台阶发生托底磕碰的单方事故。。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2023-12-30我司评估师已到现场进行查勘并对台阶高度进行测量；</w:t>
      </w:r>
      <w:r>
        <w:rPr>
          <w:rFonts w:ascii="宋体" w:eastAsia="宋体"/>
          <w:sz w:val="30"/>
        </w:rPr>
        <w:br/>
        <w:t xml:space="preserve">现场查勘后到西青区储华到长安维修站对车辆进行了查勘及测量。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过对现场及车辆的实地查勘，现场台阶最高点为25公分，底大边离地距离25公分，电池护板离电池距离10公分左右；对电池护板的查勘发现，只有剐蹭痕迹并没有凹陷的变形痕迹，护板硬度很高，电池无碰撞痕迹；；</w:t>
      </w:r>
      <w:r>
        <w:rPr>
          <w:rFonts w:ascii="宋体" w:eastAsia="宋体"/>
          <w:sz w:val="30"/>
        </w:rPr>
        <w:br/>
        <w:t xml:space="preserve">2、随后对电池进行技术性检测，该车辆电池无故障及碰撞报错等，电池相对老化，压差较大无其他故障。。</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1、综上所述，该车辆电池老化而已，无因托底碰撞导致的损坏痕迹，故电池损失与本次事故无因果关系；。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2</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2024年01月04日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天津永信机动车鉴定评估有限公司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2024-01-10T07:12:23Z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