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津元丰泉鉴估字2023第0046号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津FAD948梅赛德斯-奔驰牌BJ7161小型轿车车值评估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耿淑兰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耿淑兰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津FAD948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朱君、李兴凯、刘鹏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2023年11月17日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耿淑兰</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耿淑兰</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津元丰泉鉴估字2023第0046号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耿淑兰</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津FAD948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LE4GF4FB8AL114285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耿淑兰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耿淑兰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津FAD948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梅赛德斯-奔驰牌BJ7161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LE4GF4FB8AL114285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80014778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2010年06月24日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静态查勘：该车辆全车均有不同程度的刮蹭掉漆，车内有少许水浸痕迹（不严重），发动机仓内胶管等老化严重，渗油现象严重，轮胎严重老化，大灯疑似更换副厂配件，内饰及行李箱一般；</w:t>
      </w:r>
      <w:r>
        <w:rPr>
          <w:rFonts w:ascii="宋体" w:eastAsia="宋体"/>
          <w:sz w:val="30"/>
        </w:rPr>
        <w:br/>
        <w:t xml:space="preserve">动态查勘：车辆怠速噪音较大，向左打满论有异响，拉杆有空隙造成，提速稍显慢，已超保养里程数，灯光、电器使用正常；</w:t>
      </w:r>
      <w:r>
        <w:rPr>
          <w:rFonts w:ascii="宋体" w:eastAsia="宋体"/>
          <w:sz w:val="30"/>
        </w:rPr>
        <w:br/>
        <w:t xml:space="preserve">总结：该车辆外观瑕疵较多，老化比较严重，灯光及电器可以正常使用，但操控感很一般，车况较差，车辆已行驶10万公里，里程数相对不多，但该车辆油耗偏高；</w:t>
      </w:r>
      <w:r>
        <w:rPr>
          <w:rFonts w:ascii="宋体" w:eastAsia="宋体"/>
          <w:sz w:val="30"/>
        </w:rPr>
        <w:br/>
        <w:t xml:space="preserve">综上所述，评估师对车辆的静态和动态查勘后得出结论后进行市场调研，市场询价与该车辆配置、型号、颜色、车况等相同或相近车辆的市场价格，再考虑重置成本等因素计算得出该车的现价值，确定价格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29000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贰万玖仟元整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2024年06月18日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2023-12-21T05:31:36Z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