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津元丰泉鉴估字2023第0040号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京AGC387欧曼牌BJ4259Y6DHL-27重型半挂牵引车车损评估</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北京慧东启航商贸有限公司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京AGC387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津元丰泉鉴估字2023第0040号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京AGC387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LRDS6PEB9NT054841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北京慧东启航商贸有限公司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京AGC387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欧曼牌BJ4259Y6DHL-27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LRDS6PEB9NT054841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77468R35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2022年03月18日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2023年04月20日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1、天津铁路运输法院委托书（(2023)津8601诉前鉴第558号）；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接到线上委托后已及时与相关当事人取得联系并约定了查勘时间及地点；</w:t>
      </w:r>
      <w:r>
        <w:rPr>
          <w:rFonts w:ascii="宋体" w:eastAsia="宋体"/>
          <w:sz w:val="30"/>
        </w:rPr>
        <w:br/>
        <w:t xml:space="preserve">经约定于2023-10-24在先在河北省兴隆县东关汽车修理厂对车辆进行复勘；再去河北省兴隆县宏盛修理厂查勘残值；</w:t>
      </w:r>
      <w:r>
        <w:rPr>
          <w:rFonts w:ascii="宋体" w:eastAsia="宋体"/>
          <w:sz w:val="30"/>
        </w:rPr>
        <w:br/>
        <w:t xml:space="preserve">因展开鉴定评估工作时车辆已修复且投入正常使用，故鉴定评估基准日定为事故发生日期；</w:t>
      </w:r>
      <w:r>
        <w:rPr>
          <w:rFonts w:ascii="宋体" w:eastAsia="宋体"/>
          <w:sz w:val="30"/>
        </w:rPr>
        <w:br/>
        <w:t xml:space="preserve">取得车辆复勘及残值照片证据后，对相关损失项目进行核对，核对后编辑损失明细并进行市场调研相关配件及工时费的市场合理价格，获得市场调研结果后完善损失明细并撰写本报告书。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43200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肆万叁仟贰佰元整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2023年11月08日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2023-11-20T01:04:25Z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