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津元丰泉鉴估字2023第0039号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津NCC299捷豹SAJAA228小型轿车车损评估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丁长福</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津NCC299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2023年10月23日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2023年11月08日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2023年11月08日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2023年11月08日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津元丰泉鉴估字2023第0039号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津NCC299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SAJAA2284F8V76167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丁长福</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津NCC299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捷豹SAJAA228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SAJAA2284F8V76167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14070609422306PS</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2015年01月27日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2023年10月23日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1、天津市宝坻区人民法院委托书（(2023)津0115诉前鉴第705号）；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接到线上委托后已及时与相关代理人取得联系并约定了鉴定评估的时间及地点；</w:t>
      </w:r>
      <w:r>
        <w:rPr>
          <w:rFonts w:ascii="宋体" w:eastAsia="宋体"/>
          <w:sz w:val="30"/>
        </w:rPr>
        <w:br/>
        <w:t xml:space="preserve">按照约定的时间及地点对车辆进行了实地查勘；</w:t>
      </w:r>
      <w:r>
        <w:rPr>
          <w:rFonts w:ascii="宋体" w:eastAsia="宋体"/>
          <w:sz w:val="30"/>
        </w:rPr>
        <w:br/>
        <w:t xml:space="preserve">该车辆右前侧被撞击受损；</w:t>
      </w:r>
      <w:r>
        <w:rPr>
          <w:rFonts w:ascii="宋体" w:eastAsia="宋体"/>
          <w:sz w:val="30"/>
        </w:rPr>
        <w:br/>
        <w:t xml:space="preserve">取得相关损失证据后对损失项目进行整理并编辑出损失明细，按照损失明细市场调研配件及工时费的市场价格，获得调研结果后整理维修清单后撰写本报告书。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135000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壹拾叁万伍仟元整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2024年11月06日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2023年11月08日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2023-11-08T06:46:47Z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