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津元丰泉鉴字2023第0034号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津F72Z71博斯特WP0CA298小型轿车车辆技术鉴定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孟晓君</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津F72Z71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2023年11月02日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2023年11月02日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2023年11月02日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津元丰泉鉴字2023第0034号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津F72Z71</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WP0CA2982GS120833</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孟晓君</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津F72Z71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博斯特WP0CA298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WP0CA2982GS120833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MA122VG05249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2017年05月02日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2023年06月28日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3、《道路交通事故现场痕迹物证勘查》
；</w:t>
      </w:r>
      <w:r>
        <w:rPr>
          <w:rFonts w:ascii="宋体" w:eastAsia="宋体"/>
          <w:sz w:val="30"/>
        </w:rPr>
        <w:br/>
        <w:t xml:space="preserve">4、《道路交通事故痕迹鉴定》；</w:t>
      </w:r>
      <w:r>
        <w:rPr>
          <w:rFonts w:ascii="宋体" w:eastAsia="宋体"/>
          <w:sz w:val="30"/>
        </w:rPr>
        <w:br/>
        <w:t xml:space="preserve">5、其他相关国家/行业标准、技术规范等。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1、天津铁路运输法院委托书（(2023)津8601诉前鉴第477号）；</w:t>
      </w:r>
      <w:r>
        <w:rPr>
          <w:rFonts w:ascii="宋体" w:eastAsia="宋体"/>
          <w:sz w:val="30"/>
        </w:rPr>
        <w:br/>
        <w:t xml:space="preserve">2、委托协议/合同（津元丰泉鉴字2023第0034号）；</w:t>
      </w:r>
      <w:r>
        <w:rPr>
          <w:rFonts w:ascii="宋体" w:eastAsia="宋体"/>
          <w:sz w:val="30"/>
        </w:rPr>
        <w:br/>
        <w:t xml:space="preserve">3、鉴定评估申请书。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2、原告提供的相关照片；</w:t>
      </w:r>
      <w:r>
        <w:rPr>
          <w:rFonts w:ascii="宋体" w:eastAsia="宋体"/>
          <w:sz w:val="30"/>
        </w:rPr>
        <w:br/>
        <w:t xml:space="preserve">3、原告当事人询问笔录。</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津F72Z71号车辆于2023年6月28日行驶途中遇水后被淹熄火，熄火后车辆被拖至4S店后又拖至宝坻区宏达修理厂进行拆解维修。。</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接到线上委托后及时与相关当事人及损失评估机构取得联系，并约定了查勘时间及地点；</w:t>
      </w:r>
      <w:r>
        <w:rPr>
          <w:rFonts w:ascii="宋体" w:eastAsia="宋体"/>
          <w:sz w:val="30"/>
        </w:rPr>
        <w:br/>
        <w:t xml:space="preserve">第一次2023-9-21对车辆外观进行查勘，由于车辆未拆解，待修理厂拆解后再对车辆进行查勘；</w:t>
      </w:r>
      <w:r>
        <w:rPr>
          <w:rFonts w:ascii="宋体" w:eastAsia="宋体"/>
          <w:sz w:val="30"/>
        </w:rPr>
        <w:br/>
        <w:t xml:space="preserve">第二次2023-10-11对车辆拆解进行查勘，因部分配件未拆解，需拆解后再进行第三次查勘；</w:t>
      </w:r>
      <w:r>
        <w:rPr>
          <w:rFonts w:ascii="宋体" w:eastAsia="宋体"/>
          <w:sz w:val="30"/>
        </w:rPr>
        <w:br/>
        <w:t xml:space="preserve">第三次2023-10-23对车辆拆解进行查勘，已全部拆解完成，查勘取证工作完成；</w:t>
      </w:r>
      <w:r>
        <w:rPr>
          <w:rFonts w:ascii="宋体" w:eastAsia="宋体"/>
          <w:sz w:val="30"/>
        </w:rPr>
        <w:br/>
        <w:t xml:space="preserve">获取相关损失照片后，对拆解的配件及申请人修理厂提供的损失明细进行核对，对与本次事故无因果关系的配件项目进行标注，详情见明细，标红项目均与本次事故不存在因果关系。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1、经对车辆的查勘及获取的资料所示，水位已到座椅；；</w:t>
      </w:r>
      <w:r>
        <w:rPr>
          <w:rFonts w:ascii="宋体" w:eastAsia="宋体"/>
          <w:sz w:val="30"/>
        </w:rPr>
        <w:br/>
        <w:t xml:space="preserve">2、因此，水位线以下损失痕迹合理相符的配件符合因果关系；；</w:t>
      </w:r>
      <w:r>
        <w:rPr>
          <w:rFonts w:ascii="宋体" w:eastAsia="宋体"/>
          <w:sz w:val="30"/>
        </w:rPr>
        <w:br/>
        <w:t xml:space="preserve">3、配件损失痕迹不符、无损坏痕迹及水淹无法造成损坏的配件无因果关系。。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1、综上所述，转向器、气囊电脑、车身线束等水淹易损配件的损坏有因果关系，安全带、节气门、CD机等未被水淹到及遇水未损坏的配件与本次事故无因果关系；；</w:t>
      </w:r>
      <w:r>
        <w:rPr>
          <w:rFonts w:ascii="宋体" w:eastAsia="宋体"/>
          <w:sz w:val="30"/>
        </w:rPr>
        <w:br/>
        <w:t xml:space="preserve">2、因配件项目过多，不一一列举，详情见明细，标红项目与本次事故不存在因果关系，未标红项目均与本次事故存在因果关系。。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2024年10月31日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lang w:val="en-US" w:eastAsia="zh-CN"/>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2023年11月02日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2023-11-07T04:59:33Z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