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津元丰泉鉴字2023第0032号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津C51286晶马牌JMV0607CF中型普通客车车辆技术鉴定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天津市宝坻区人民法院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天津市宏杰运业有限责任公司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津C51286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2023年09月21日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2023年10月09日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2023年10月09日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天津市宝坻区人民法院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2023年10月09日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津元丰泉鉴字2023第0032号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天津市宝坻区人民法院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津C51286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LNOKD0742JK182923</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天津市宝坻区人民法院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天津市宏杰运业有限责任公司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旅游客运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津C51286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中型普通客车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晶马牌JMV0607CF</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LNOKD0742JK182923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J2015894</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2018年07月13日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为鉴定评估对象的维修时长提供参考依据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2022年10月14日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1、《事故汽车修复技术规范》；</w:t>
      </w:r>
      <w:r/>
      <w:r>
        <w:rPr>
          <w:sz w:val="30"/>
        </w:rPr>
        <w:rPr>
          <w:rFonts w:eastAsia="宋体" w:ascii="宋体"/>
        </w:rPr>
        <w:br/>
        <w:t>2、其他相关国家/行业标准、技术规范等。</w:t>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1、天津市宝坻区人民法院委托书（(2023)津0115司技委字第128号）；</w:t>
      </w:r>
      <w:r/>
      <w:r>
        <w:rPr>
          <w:sz w:val="30"/>
        </w:rPr>
        <w:rPr>
          <w:rFonts w:eastAsia="宋体" w:ascii="宋体"/>
        </w:rPr>
        <w:br/>
        <w:t>2、委托协议/合同（津元丰泉鉴字2023第0032号）；</w:t>
      </w:r>
      <w:r>
        <w:rPr>
          <w:sz w:val="30"/>
        </w:rPr>
        <w:rPr>
          <w:rFonts w:eastAsia="宋体" w:ascii="宋体"/>
        </w:rPr>
        <w:br/>
        <w:t>3、鉴定评估申请书。</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1、鉴定评估方实地查勘照片。</w:t>
      </w:r>
      <w:bookmarkStart w:id="1" w:name="_GoBack"/>
      <w:r/>
      <w:bookmarkEnd w:id="1"/>
      <w:r/>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被鉴定车辆津ADJ3520号中型普通客车于2022年10月14日宝坻区发生交通事故，事故造成车身左侧严重变形受损。。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我司鉴定评估工作人员于2022-9-21对鉴定车辆进行复勘，现车辆已修复，且可以正常使用；</w:t>
      </w:r>
      <w:r/>
      <w:r>
        <w:rPr>
          <w:sz w:val="30"/>
        </w:rPr>
        <w:rPr>
          <w:rFonts w:eastAsia="宋体" w:ascii="宋体"/>
        </w:rPr>
        <w:br/>
        <w:t>对事故发生后的情况做了相关了解，确定了事故发生后车辆的维修情况，申请人提供了维修明细等相关资料；</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及相关损失照片所示，车辆更换左侧外围板、左侧尾灯、玻璃饰条、后副钢板弹簧、轮胎、后杠等配件，更换后左侧外围板等部件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整形及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30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2024年10月07日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2023年10月09日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