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津元丰泉鉴字2023第0032号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津C51286晶马牌JMV0607CF中型普通客车车辆技术鉴定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天津市宏杰运业有限责任公司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津C51286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2023年10月09日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2023年10月09日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津元丰泉鉴字2023第0032号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天津市宝坻区人民法院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津C51286</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LNOKD0742JK182923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天津市宏杰运业有限责任公司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旅游客运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津C51286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中型普通客车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晶马牌JMV0607CF</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LNOKD0742JK182923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J2015894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2018年07月13日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2022年10月14日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1、天津市宝坻区人民法院委托书（(2023)津0115司技委字第128号）；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被鉴定车辆津ADJ3520号中型普通客车于2022年10月14日宝坻区发生交通事故，事故造成车身左侧严重变形受损。。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我司鉴定评估工作人员于2022-9-21对鉴定车辆进行复勘，现车辆已修复，且可以正常使用；</w:t>
      </w:r>
      <w:r>
        <w:rPr>
          <w:rFonts w:ascii="宋体" w:eastAsia="宋体"/>
          <w:sz w:val="30"/>
        </w:rPr>
        <w:br/>
        <w:t xml:space="preserve">对事故发生后的情况做了相关了解，确定了事故发生后车辆的维修情况，申请人提供了维修明细等相关资料；</w:t>
      </w:r>
      <w:r>
        <w:rPr>
          <w:rFonts w:ascii="宋体" w:eastAsia="宋体"/>
          <w:sz w:val="30"/>
        </w:rPr>
        <w:br/>
        <w:t xml:space="preserve">市场调研维修方法、工艺及配件的市场保有量等相应信息，再经过客观分析得出鉴定意见。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定损明细及相关损失照片所示，车辆更换左侧外围板、左侧尾灯、玻璃饰条、后副钢板弹簧、轮胎、后杠等配件，更换后左侧外围板等部件需要切割焊接，以及车身事故面喷漆等工艺修复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整形及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30天。。</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2024年10月07日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2023年10月09日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2023-10-09T03:56:09Z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