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津CJ2965远程牌DNC4250GNK6重型半挂牵引车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天津宇杰通达货运代理有限公司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津CJ2965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津CJ2965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LMPH8HDE5MA255608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天津宇杰通达货运代理有限公司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津CJ2965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远程牌DNC4250GNK6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LMPH8HDE5MA255608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3121D033827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2023年04月13日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2023年06月10日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1、天津铁路运输法院委托书（(2023)津8601司技委字第069号）；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宋体" w:eastAsia="宋体"/>
          <w:sz w:val="30"/>
          <w:szCs w:val="32"/>
          <w:highlight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接到线上委托后及时与相关当事人取得联系并约定了鉴定评估查勘的时间地点；</w:t>
      </w:r>
      <w:r>
        <w:rPr>
          <w:rFonts w:ascii="宋体" w:eastAsia="宋体"/>
          <w:sz w:val="30"/>
        </w:rPr>
        <w:br/>
        <w:t xml:space="preserve">鉴定评估工作开展时，车辆已修复并投入正常使用，故鉴定评估基准日定为事故发生日期2023-6-10；</w:t>
      </w:r>
      <w:r>
        <w:rPr>
          <w:rFonts w:ascii="宋体" w:eastAsia="宋体"/>
          <w:sz w:val="30"/>
        </w:rPr>
        <w:br/>
        <w:t xml:space="preserve">按照约定的时间（2023-9-6上午10点）到达约定地点（河北省张家口张北县凯德顺汽修厂）对该车辆更换下来的残值进行查勘；</w:t>
      </w:r>
      <w:r>
        <w:rPr>
          <w:rFonts w:ascii="宋体" w:eastAsia="宋体"/>
          <w:sz w:val="30"/>
        </w:rPr>
        <w:br/>
        <w:t xml:space="preserve">对相关配件残值进行拍照取证（部分小型及塑料配件碰撞后丢失），取得相关损失证据后对损失项目进行整理并编辑出损失明细，按照损失明细市场调研配件及工时费的市场价格，获得调研结果后整理维修清单后撰写本报告书。</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rPr>
        <w:suppressLineNumbers w:val="0"/>
      </w:pPr>
      <w:r>
        <w:rPr>
          <w:rFonts w:ascii="宋体" w:eastAsia="宋体"/>
          <w:sz w:val="30"/>
          <w:highlight w:val="none"/>
        </w:rPr>
        <w:t xml:space="preserve">因车辆在外地营运拉货，未能对车辆进行复勘，如被申请人有复勘需求，申请人应积极配合。</w:t>
      </w:r>
      <w:r>
        <w:rPr>
          <w:rFonts w:ascii="宋体" w:eastAsia="宋体"/>
          <w:sz w:val="30"/>
          <w:highlight w:val="none"/>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170000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壹拾柒万元整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3、申请人未能提供已修复车辆实地查勘，修复后应配合被申请人对车辆进行复勘；</w:t>
      </w:r>
      <w:r>
        <w:rPr>
          <w:rFonts w:ascii="宋体" w:eastAsia="宋体"/>
          <w:sz w:val="30"/>
        </w:rPr>
        <w:br/>
        <w:t xml:space="preserve">4、本公司承诺不向他人提供或公开本报告书内容。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2024年09月18日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2023-09-27T06:08:33Z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