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豫PR576R猎锐牌TMBLB75L小型轿车推定全损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赵进峰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豫PR576R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豫PR576R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TMBLB75L1D6085212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赵进峰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豫PR576R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猎锐牌TMBLB75L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TMBLB75L1D6085212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CDA421030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2014年03月12日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2023年08月10日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1、委托方及相关当事人对所提供材料的真实性、完整性负责；</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1、天津市津南区人民法院委托书（(2023)津0112司技委字第267号）；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接到线上委托后，与双方约定了鉴定评估的时间及地点，双方均到场参与鉴定评估工作，因车辆还未维修，故鉴定基准日定为2023-8-10；</w:t>
      </w:r>
      <w:r>
        <w:rPr>
          <w:rFonts w:ascii="宋体" w:eastAsia="宋体"/>
          <w:sz w:val="30"/>
        </w:rPr>
        <w:br/>
        <w:t xml:space="preserve">该车辆行驶途中落入水沟，造成车辆前部碰撞损坏、车辆被水淹后车内电子配件损坏及发动机进水等损失；</w:t>
      </w:r>
      <w:r>
        <w:rPr>
          <w:rFonts w:ascii="宋体" w:eastAsia="宋体"/>
          <w:sz w:val="30"/>
        </w:rPr>
        <w:br/>
        <w:t xml:space="preserve">按照约定的时间地点，进行实地查勘，车辆是未拆解状态，对标的进行外观拍照取证后，约定于2023-8-11继续对拆解后的损失进行查勘；</w:t>
      </w:r>
      <w:r>
        <w:rPr>
          <w:rFonts w:ascii="宋体" w:eastAsia="宋体"/>
          <w:sz w:val="30"/>
        </w:rPr>
        <w:br/>
        <w:t xml:space="preserve">拆解后的损失拍照取证后，对相关损失所需要更换的配件及工时进行整理，整理后列出损失清单，按照损失清单进行市场调研该车辆的配件及工时费的市场合理价格；</w:t>
      </w:r>
      <w:r>
        <w:rPr>
          <w:rFonts w:ascii="宋体" w:eastAsia="宋体"/>
          <w:sz w:val="30"/>
        </w:rPr>
        <w:br/>
        <w:t xml:space="preserve">在初步对相关损失调研发现该车更换配件较多，价值较高且维修工艺复杂，仅调研部分配件及工时价格已超出车辆本身现价值。由于维修成本过高且超出车辆价值，故该车已没有维修再使用的价值，故按照商业保险中的车辆损失保险保额确定该车辆损失金额。保单所示：车损险保额为119120元（拾壹万玖千壹佰贰拾元整）；</w:t>
      </w:r>
      <w:r>
        <w:rPr>
          <w:rFonts w:ascii="宋体" w:eastAsia="宋体"/>
          <w:sz w:val="30"/>
        </w:rPr>
        <w:br/>
        <w:t xml:space="preserve">确定该车保额后撰写本报告书。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119120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壹拾壹万玖仟壹佰贰拾元整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2024年08月13日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2023-08-14T07:57:10Z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