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津MCB100奥迪牌FV7203BBCWG小型轿车车损评估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项建国</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津MCB100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津MCB100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LFV3A28K5D3067914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项建国</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津MCB100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奥迪牌FV7203BBCWG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LFV3A28K5D3067914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379414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2013年09月04日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1、天津市宝坻区人民法院委托书（(2023)津0115诉前鉴第492号）；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事故发生于2023-5-19，因鉴定评估工作开展时，车辆已修复完毕且正常使用，故评估基准日定为事故发生日期；</w:t>
      </w:r>
      <w:r>
        <w:rPr>
          <w:rFonts w:ascii="宋体" w:eastAsia="宋体"/>
          <w:sz w:val="30"/>
        </w:rPr>
        <w:br/>
        <w:t xml:space="preserve">接到线上委托后，已及时与相关当事人取得联系，并约定了鉴定评估的时间及地点，按照相关约定相关当事人均到场参与鉴定评估工作；</w:t>
      </w:r>
      <w:r>
        <w:rPr>
          <w:rFonts w:ascii="宋体" w:eastAsia="宋体"/>
          <w:sz w:val="30"/>
        </w:rPr>
        <w:br/>
        <w:t xml:space="preserve">到达车辆维修地点对车辆进行查勘，收集了相关维修资料，取得相关资料后对维修项目进行整理并列出维修明细，根据维修明细进行市场调研该车辆的配件及维修工时的市场合理价格，确定金额后撰写本报告书。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47300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肆万柒仟叁佰元整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2024年07月29日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2023-07-30T08:40:20Z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