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津元丰泉鉴估字2023第0019号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京FLU285豪沃牌ZZ5047CCYG3315F14轻型仓栅式货车车损评估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郭厦</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京FLU285</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color w:val="333333"/>
          <w:sz w:val="30"/>
          <w:highlight w:val="none"/>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2023年06月16日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2023年06月29日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2023年06月29日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2023年06月29日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津元丰泉鉴估字2023第0019号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11</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京FLU285</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LZZ1BAFB8ME924529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郭厦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京FLU285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轻型仓栅式货车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豪沃牌ZZ5047CCYG3315F14</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LZZ1BAFB8ME924529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BG10633088</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2022年02月11日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2023年01月24日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1、天津市蓟州区人民法院委托书（(2023)津0119诉前鉴第798号）；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2023年1月24日该车辆发生侧翻的交通事故，造成驾驶室严重变形，车身不同程度受损；</w:t>
      </w:r>
      <w:r>
        <w:rPr>
          <w:rFonts w:ascii="宋体" w:eastAsia="宋体"/>
          <w:sz w:val="30"/>
        </w:rPr>
        <w:br/>
        <w:t xml:space="preserve">接到线上委托后及时与相关当事人取得联系，并约定了鉴定评估的时间及地点；</w:t>
      </w:r>
      <w:r>
        <w:rPr>
          <w:rFonts w:ascii="宋体" w:eastAsia="宋体"/>
          <w:sz w:val="30"/>
        </w:rPr>
        <w:br/>
        <w:t xml:space="preserve">按照约定的时间及地点对该车辆进行查勘鉴定，鉴定工作开展时，车辆已修复并投入正常使用中，故鉴定评估基准日定为事故发生日期；</w:t>
      </w:r>
      <w:r>
        <w:rPr>
          <w:rFonts w:ascii="宋体" w:eastAsia="宋体"/>
          <w:sz w:val="30"/>
        </w:rPr>
        <w:br/>
        <w:t xml:space="preserve">取得相关损失证据材料后，对车辆损失进行整理并编辑出损失明细，按照损失明细对更换的配件价格及维修工时价格进行市场调研，取得市场调研结果后经核对无误后撰写本评估报告书。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62100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陆万贰仟壹佰元整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2024年06月27日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2023年06月29日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2023-06-28T01:35:14Z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