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津元丰泉鉴估字2023第0016号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京N38055夏利牌TJ7133UE4S小型轿车车损评估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张永德</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京N38055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津元丰泉鉴估字2023第0016号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135</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京N38055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LFPX2ACBXC5E02341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张永德</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京N38055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夏利牌TJ7133UE4S</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LFPX2ACBXC5E02341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HB857647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2012年03月12日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2023年06月07日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1、天津市蓟州区人民法院委托书（(2023)津0119诉前鉴第725号）；</w:t>
      </w:r>
      <w:r/>
      <w:r>
        <w:rPr>
          <w:sz w:val="30"/>
        </w:rPr>
        <w:rPr>
          <w:rFonts w:eastAsia="宋体" w:ascii="宋体"/>
        </w:rPr>
        <w:br/>
        <w:t>2、委托协议/合同（津元丰泉鉴估字2023第0016号）；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事故发生于2022年1月3日该车被第三方车辆撞击右侧后并造成车辆移位，造成车辆车身不同程度受损；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接到线上委托后及时与相关当事人联系并约定了鉴定评估的时间及地点；</w:t>
      </w:r>
      <w:r>
        <w:rPr>
          <w:sz w:val="30"/>
        </w:rPr>
        <w:rPr>
          <w:rFonts w:eastAsia="宋体" w:ascii="宋体"/>
        </w:rPr>
        <w:br/>
        <w:t>2023年6月7日按照约定的时间及地点对该车辆进行查勘取证；</w:t>
      </w:r>
      <w:r>
        <w:rPr>
          <w:sz w:val="30"/>
        </w:rPr>
        <w:rPr>
          <w:rFonts w:eastAsia="宋体" w:ascii="宋体"/>
        </w:rPr>
        <w:br/>
        <w:t>车辆是未修理且已拆解状态，评估基准日定为鉴定评估查勘日期；</w:t>
      </w:r>
      <w:r>
        <w:rPr>
          <w:sz w:val="30"/>
        </w:rPr>
        <w:rPr>
          <w:rFonts w:eastAsia="宋体" w:ascii="宋体"/>
        </w:rPr>
        <w:br/>
        <w:t>取得相关损失证据材料后，对车辆损失进行整理并编辑出损失明细，按照损失明细对更换的配件价格及维修工时价格进行市场调研，取得市场调研结果后经核对无误后撰写本评估报告书。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15300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壹万伍仟叁佰元整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2024年06月10日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