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津永信鉴估字2023第0009号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冀B3J722豪瀚牌ZZ4255V3846F1L重型半挂牵引车车损评估</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孙超</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玉田县易航货物运输有限公司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冀B3J722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2023年05月19日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孙超</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孙超</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津永信鉴估字2023第0009号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孙超</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冀B3J722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LZZPCL3D3KJ144824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孙超</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r>
      <w:r>
        <w:rPr>
          <w:rFonts w:ascii="宋体" w:eastAsia="宋体"/>
          <w:b w:val="false"/>
          <w:i w:val="false"/>
          <w:caps w:val="false"/>
          <w:color w:val="333333"/>
          <w:spacing w:val="0"/>
          <w:sz w:val="30"/>
          <w:szCs w:val="32"/>
          <w:highlight w:val="none"/>
          <w:u w:val="none"/>
          <w:shd w:val="nil" w:color="000000"/>
          <w:lang w:val="en-US" w:bidi="ar" w:eastAsia="zh-CN"/>
        </w:rPr>
        <w:t xml:space="preserve">玉田县易航货物运输有限公司</w:t>
      </w:r>
      <w:r/>
      <w:r>
        <w:rPr>
          <w:rFonts w:ascii="宋体" w:eastAsia="宋体"/>
          <w:color w:val="333333"/>
          <w:sz w:val="30"/>
          <w:highlight w:val="white"/>
          <w:shd w:val="nil" w:color="000000"/>
        </w:rPr>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冀B3J722</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豪瀚牌ZZ4255V3846F1L</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LZZPCL3D3KJ144824</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191217613577</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2020年05月26日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2023年03月25日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1、委托书/合同；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1、权属证件。</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2023年3月25日该车辆在河北省廊坊市发生交通事故，造成本车驾驶室变形并后移及车辆前部不同程度受损；</w:t>
      </w:r>
      <w:r>
        <w:rPr>
          <w:rFonts w:ascii="宋体" w:eastAsia="宋体"/>
          <w:sz w:val="30"/>
        </w:rPr>
        <w:br/>
        <w:t xml:space="preserve">接到委托后，我司安排鉴定评估人员到场实地查勘评估对象；</w:t>
      </w:r>
      <w:r>
        <w:rPr>
          <w:rFonts w:ascii="宋体" w:eastAsia="宋体"/>
          <w:sz w:val="30"/>
        </w:rPr>
        <w:br/>
        <w:t xml:space="preserve">取得相关损失照片资料后，对损失进行整理并编辑出损失明细，随即按照损失明细进行市场调研相关配件及维修工时的合理市场价格，获得市场刁姐结果后，评估小组人员再次对相关损失进行复核确认，确定评估结论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219500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贰拾壹万玖仟伍佰元整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2024年05月17日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2023-05-20T02:28:17Z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