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津永信鉴估字2023第0006号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蒙A751XR东风牌DXK6470AS1F小型普通客车汽车贬值评估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马文愽</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马文愽</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蒙A751XR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张思聪、王永艳、李兴凯</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2023年04月25日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2023年05月05日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马文愽</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马文愽</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马文愽</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蒙A751XR</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LVZA53P90HC063013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马文愽</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马文愽</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蒙A751XR</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东风牌DXK6470AS1F</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LVZA53P90HC063013</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17088305</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2018年05月03日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为评估对象的贬值金额提供参考依据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2023年02月12日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1、《二手车鉴定评估技术规范》 ；</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1、马文愽委托书（无编号）；</w:t>
      </w:r>
      <w:r>
        <w:rPr>
          <w:rFonts w:ascii="宋体" w:eastAsia="宋体"/>
          <w:sz w:val="30"/>
        </w:rPr>
        <w:br/>
        <w:t xml:space="preserve">2、委托协议/合同；</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事故发生于2023年2月12日，评估车辆被第三方车辆撞击车身右后侧，造成该车辆右后侧及后轮严重变形移位后悬挂受损，由于碰撞力度较大，车身左前部与固定物发生接触，造成该车辆左前及前部地盘受损。</w:t>
      </w:r>
      <w:r>
        <w:rPr>
          <w:rFonts w:ascii="宋体" w:eastAsia="宋体"/>
          <w:sz w:val="30"/>
        </w:rPr>
        <w:br/>
        <w:t xml:space="preserve">接到当事人委托后，按照约定的时间地点对车辆进行查勘取证，评估基准日为事故发生日期；</w:t>
      </w:r>
      <w:r>
        <w:rPr>
          <w:rFonts w:ascii="宋体" w:eastAsia="宋体"/>
          <w:sz w:val="30"/>
        </w:rPr>
        <w:br/>
        <w:t xml:space="preserve">取得车辆损失照片及相关资料后，再依据我司出具的损失评估报告（确定该车事故损失情况）及市场调研（线上线下）该车辆在评估基准日的现价值金额，获得相关调研结果后经分析得出结论后撰写本报告书。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9000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玖仟元整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2024年05月03日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2023-05-11T00:12:27Z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