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津元丰泉鉴估字2023第0008号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津CE8675东风牌EQ3318GLV重型自卸货车车损评估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天津佳益运输有限公司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津CE8675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2023年04月14日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2023年04月21日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2023年04月21日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2023年04月21日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津元丰泉鉴估字2023第0008号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津CE8675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LGHXPHFS5M6101554</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天津佳益运输有限公司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津CE8675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重型自卸货车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东风牌EQ3318GLV</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LGHXPHFS5M6101554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1020L046488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2021年03月01日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2022年09月20日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1、天津市蓟州区人民法院委托书（(2023)津0119诉前鉴第324号）；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事故发生于2022年9月20日，该车与第三方车辆发生碰撞，造成该车驾驶室变形严重并后移的车辆损失；</w:t>
      </w:r>
      <w:r>
        <w:rPr>
          <w:rFonts w:ascii="宋体" w:eastAsia="宋体"/>
          <w:sz w:val="30"/>
        </w:rPr>
        <w:br/>
        <w:t xml:space="preserve">接到线上委托后，及时与当事各方取得联系并约定了鉴定评估的时间及地点；</w:t>
      </w:r>
      <w:r>
        <w:rPr>
          <w:rFonts w:ascii="宋体" w:eastAsia="宋体"/>
          <w:sz w:val="30"/>
        </w:rPr>
        <w:br/>
        <w:t xml:space="preserve">按照约定的时间地点已对评估车辆进行查勘，各方当事人均到场参与鉴定评估工作，鉴定工作开始时，该车辆是已修复并正常使用的状态；</w:t>
      </w:r>
      <w:r>
        <w:rPr>
          <w:rFonts w:ascii="宋体" w:eastAsia="宋体"/>
          <w:sz w:val="30"/>
        </w:rPr>
        <w:br/>
        <w:t xml:space="preserve">因事故发生后，车辆已及时维修并正常使用，故评估基准日定为事故发生日期；</w:t>
      </w:r>
      <w:r>
        <w:rPr>
          <w:rFonts w:ascii="宋体" w:eastAsia="宋体"/>
          <w:sz w:val="30"/>
        </w:rPr>
        <w:br/>
        <w:t xml:space="preserve">鉴定评估人员在收集事故车辆相关损失残值及复勘修复车辆证据照片后，先对相关损失进行整理及核对，随后做出该车辆维修的损失明细，确定损失明细后市场调研相关配件及维修工时等相关的市场价格，获取市场调研结果后经整理确认损失金额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54500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伍万肆仟伍佰元整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2024年04月19日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2023年04月21日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2023-04-20T04:01:14Z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