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津元丰泉鉴估字2023第0005号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辽PYE905奥迪牌FV7251BBCBG小型轿车车损评估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许敏敏</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辽PYE905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辽PYE905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LFV5A24G6E3165393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许敏敏</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辽PYE905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奥迪牌FV7251BBCBG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LFV5A24G6E3165393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188744</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2015年02月10日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2022年10月25日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1、天津市蓟州区人民法院委托书（(2023)津0119诉前鉴第191号）；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接到线上委托后，及时与双方沟通约定鉴定评估时间及地点；</w:t>
      </w:r>
      <w:r>
        <w:rPr>
          <w:rFonts w:ascii="宋体" w:eastAsia="宋体"/>
          <w:sz w:val="30"/>
        </w:rPr>
        <w:br/>
        <w:t xml:space="preserve">2022年10月5日本车右后侧与第三方车辆发生碰撞事故，造成本车右后侧顶部气囊及右侧座椅侧面气囊弹开，右后轮偏移等车辆损失；</w:t>
      </w:r>
      <w:r>
        <w:rPr>
          <w:rFonts w:ascii="宋体" w:eastAsia="宋体"/>
          <w:sz w:val="30"/>
        </w:rPr>
        <w:br/>
        <w:t xml:space="preserve">按照约定的鉴定评估时间地点，我司工作人员完成了相关证据材料的收集工作；</w:t>
      </w:r>
      <w:r>
        <w:rPr>
          <w:rFonts w:ascii="宋体" w:eastAsia="宋体"/>
          <w:sz w:val="30"/>
        </w:rPr>
        <w:br/>
        <w:t xml:space="preserve">取得相关损失照片后，对相关损失进行梳理并拟定损失明细，确定损失明细后市场调研相关损失的市场价格，获取市场调研结果后再次与损失明细进行核对，核对无误后撰写本报告书。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72400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柒万贰仟肆佰元整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2023-04-20T02:06:18Z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