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津元丰泉鉴估字2023第0002号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冀BC09L1梅塞德斯-奔驰牌BJ7164F小型轿车车损评估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李俊生</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冀BC09L1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2023年02月28日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2023年03月15日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2023年03月15日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2023年03月15日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津元丰泉鉴估字2023第0002号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93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冀BC09L1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LE4WG4AB6FL043112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李俊生</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冀BC09L1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梅塞德斯-奔驰牌BJ7164F</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LE4WG4AB6FL043112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10124478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2015年04月10日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2023年01月03日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1、天津市蓟州区人民法院委托书（(2023)津0119诉前鉴第174号 ）；</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3、交通事故认定书。</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车辆于2023年1月3日发生交通事故，车辆左前角及悬挂受损；</w:t>
      </w:r>
      <w:r>
        <w:rPr>
          <w:rFonts w:ascii="宋体" w:eastAsia="宋体"/>
          <w:sz w:val="30"/>
        </w:rPr>
        <w:br/>
        <w:t xml:space="preserve">2023年2月28日双方均到场参与鉴定评估工作，车辆已修复，并正常使用；</w:t>
      </w:r>
      <w:r>
        <w:rPr>
          <w:rFonts w:ascii="宋体" w:eastAsia="宋体"/>
          <w:sz w:val="30"/>
        </w:rPr>
        <w:br/>
        <w:t xml:space="preserve">查勘获取相关损失资料后，整理核对损失明细，确定损失明细后市场调研相关配件及维修工时的市场价格，取得市场调研结果后，总结损失金额并撰写本报告书。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83800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捌万叁仟捌佰元整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2024年03月13日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2023年03月15日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2023-03-15T01:17:45Z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