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津元丰泉鉴估字2022第0047号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津CE3855欧曼牌BJ4259Y6DHL_12重型半挂牵引车车损评估</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丁洪起</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津CE3855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2022年12月02日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2022年12月15日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2022年12月15日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2022年12月15日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津元丰泉鉴估字2022第0047号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津CE3855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LRDS6PEB6MT089643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丁洪起</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津CE3855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欧曼牌BJ4259Y6DHL_12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LRDS6PEB6MT089643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77458323</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2021年08月23日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2022年02月25日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1、天津市蓟州区人民法院委托书（(2022)津0119诉前鉴第1194号）；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接到委托任务后及时与双方取得联系，并与双方约定了鉴定评估工作的时间及地点；</w:t>
      </w:r>
      <w:r>
        <w:rPr>
          <w:rFonts w:ascii="宋体" w:eastAsia="宋体"/>
          <w:sz w:val="30"/>
        </w:rPr>
        <w:br/>
        <w:t xml:space="preserve">事故发生于2022-2-25，事故发生后，车辆已及时进行了维修，现已投入正常运营，因此，评估基准日定于事故发生日期；</w:t>
      </w:r>
      <w:r>
        <w:rPr>
          <w:rFonts w:ascii="宋体" w:eastAsia="宋体"/>
          <w:sz w:val="30"/>
        </w:rPr>
        <w:br/>
        <w:t xml:space="preserve">该车辆为2021-8注册登记，直至事故发生日期仅使用6个月，车辆较新，本次事故造成该车辆驾驶室右上角受损严重，驾驶室整体向后移动，右前轮有明显碰撞痕迹，车身前后均不同程度受损；</w:t>
      </w:r>
      <w:r>
        <w:rPr>
          <w:rFonts w:ascii="宋体" w:eastAsia="宋体"/>
          <w:sz w:val="30"/>
        </w:rPr>
        <w:br/>
        <w:t xml:space="preserve">鉴定评估工作中双方均到场参与鉴定评估工作，已对车辆及更换的残值进行查勘，双方对于鉴定评估过程及程序均认可；</w:t>
      </w:r>
      <w:r>
        <w:rPr>
          <w:rFonts w:ascii="宋体" w:eastAsia="宋体"/>
          <w:sz w:val="30"/>
        </w:rPr>
        <w:br/>
        <w:t xml:space="preserve">取得相关损失证据材料后，我司工作人员先对收集的材料进行整理、核对、核实，确定了车辆相关损失后编辑损失清单明细，确认损失明细无误后进行市场调研相关配件及工时的市场价格，获取市场调研结果后编辑损失清单计算损失金额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151500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壹拾伍万壹仟伍佰元整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2023年12月14日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2022年12月15日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2022-12-15T11:01:50Z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