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1、2022年10月13日，已于申请人代理人张律师（12502199398）联系，告知车辆正在运营，需与民生公司段经理（13180393027）约定看车时间及地点</w:t>
        <w:cr/>
      </w:r>
      <w:r>
        <w:rPr>
          <w:sz w:val="28"/>
        </w:rPr>
        <w:rPr>
          <w:rFonts w:eastAsia="宋体" w:ascii="宋体"/>
        </w:rPr>
        <w:t>2、2022年11月02日，申请人代理人传照片</w:t>
        <w:cr/>
      </w:r>
      <w:r>
        <w:rPr>
          <w:sz w:val="28"/>
        </w:rPr>
        <w:rPr>
          <w:rFonts w:eastAsia="宋体" w:ascii="宋体"/>
        </w:rPr>
        <w:t>3、2022年11月03日，申请人代理人补充照片</w:t>
        <w:cr/>
      </w:r>
      <w:r>
        <w:rPr>
          <w:sz w:val="28"/>
        </w:rPr>
        <w:rPr>
          <w:rFonts w:eastAsia="宋体" w:ascii="宋体"/>
        </w:rPr>
        <w:t>4、2022年11月14日，与民生代理人沟通价格，告知价格在25W左右，代理人发送一评两个报告，显示16.5W和17W。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