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乐华111鉴估字2022第0003号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京201A09181123车损评估</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车辆所有者</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杨戬</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京201A0918</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o.o,o.o</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2022年09月26日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2022年09月30日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乐华娱乐111</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车辆所有者</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2022年09月30日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车辆所有者</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2022年09月30日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乐华111鉴估字2022第0003号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车辆所有者</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京201A0918</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123</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车辆所有者</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杨戬</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1</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京201A0918</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123</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1</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123</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0"/>
          <w:szCs w:val="32"/>
          <w:u w:val="none"/>
          <w:shd w:fill="FFFFFF" w:val="clear"/>
          <w:lang w:bidi="ar" w:eastAsia="zh-CN" w:val="en-US"/>
        </w:rPr>
        <w:rPr>
          <w:rFonts w:eastAsia="宋体" w:ascii="宋体"/>
        </w:rPr>
        <w:rPr>
          <w:shd w:fill=""/>
        </w:rPr>
        <w:t>123</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2022年09月28日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为评估对象的损失提供参考依据</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2022年09月28日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1、《机动车登记规定》。</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1、《机动车安全运行技术条件》。</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1、车辆所有者委托书（WTS0001）；</w:t>
      </w:r>
      <w:r>
        <w:rPr>
          <w:sz w:val="30"/>
        </w:rPr>
        <w:rPr>
          <w:rFonts w:eastAsia="宋体" w:ascii="宋体"/>
        </w:rPr>
        <w:br/>
        <w:t>2、委托协议/合同（乐华111鉴估字2022第0003号）；</w:t>
      </w:r>
      <w:r>
        <w:rPr>
          <w:sz w:val="30"/>
        </w:rPr>
        <w:rPr>
          <w:rFonts w:eastAsia="宋体" w:ascii="宋体"/>
        </w:rPr>
        <w:br/>
        <w:t>3、鉴定评估申请书。</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1、鉴定评估方实地查勘照片。</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000</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0</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零元整</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1、委托方及相关当事人对所提供材料的真实性、完整性负责。</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1</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10</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2022年10月09日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乐华娱乐111</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2022年09月30日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