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t xml:space="preserve">123</w:t>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昱字鉴估字2021第0007号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12323123车损评估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15620612944</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yyc,yyc</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2021年06月15日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天津昱见科技发展有限公司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123</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123</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昱字鉴估字2021第0007号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1231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1212312</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2021年06月14日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2021年06月15日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1、《机动车强制报废标准规定》。</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1、123委托书（123）；</w:t>
      </w:r>
      <w:r>
        <w:rPr>
          <w:rFonts w:ascii="宋体" w:eastAsia="宋体"/>
          <w:sz w:val="30"/>
        </w:rPr>
        <w:br/>
        <w:t xml:space="preserve">2、委托协议/合同（昱字鉴估字2021第0007号）；</w:t>
      </w:r>
      <w:r>
        <w:rPr>
          <w:rFonts w:ascii="宋体" w:eastAsia="宋体"/>
          <w:sz w:val="30"/>
        </w:rPr>
        <w:br/>
        <w:t xml:space="preserve">3、鉴定申请书（复印件）。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1、确定相关损失情况及程度。</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as da sa</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零元整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1、dasd a。</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123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12</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2021年07月03日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天津昱见科技发展有限公司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敬业果管理系统制作https://www.jingyeguo.com</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23</cp:revision>
  <dcterms:created xsi:type="dcterms:W3CDTF">2020-11-05T20:54:00Z</dcterms:created>
  <dcterms:modified xsi:type="dcterms:W3CDTF">2022-09-02T03:10:02Z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