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1、2022年07月15日，已现场查勘事故车辆，双方均到场。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