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津元丰泉鉴估字2022第0028号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津A50Q06丰田牌TV7204G6小型轿车车损评估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翟丽萍</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津A50Q06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津A50Q06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LFMAN54K9M0096339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翟丽萍</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津A50Q06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丰田牌TV7204G6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LFMAN54K9M0096339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DC71281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2021年06月05日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2021年12月18日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1、天津市武清区人民法院委托书（(2022)津0114司技委字第522号）；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原定于7月22日实地查勘车辆，由于疫情及车主个人原因，没能实际复勘事故车辆，使用原被告双方提供的相关照片进行实际损失评估；</w:t>
      </w:r>
      <w:r>
        <w:rPr>
          <w:rFonts w:ascii="宋体" w:eastAsia="宋体"/>
          <w:sz w:val="30"/>
        </w:rPr>
        <w:br/>
        <w:t xml:space="preserve">因车辆不能配合复勘，原告需承担由此带来的不利后果；</w:t>
      </w:r>
      <w:r>
        <w:rPr>
          <w:rFonts w:ascii="宋体" w:eastAsia="宋体"/>
          <w:sz w:val="30"/>
        </w:rPr>
        <w:br/>
        <w:t xml:space="preserve">事故发生于2021年12月18日，现车辆已及时修复并正常使用中；</w:t>
      </w:r>
      <w:r>
        <w:rPr>
          <w:rFonts w:ascii="宋体" w:eastAsia="宋体"/>
          <w:sz w:val="30"/>
        </w:rPr>
        <w:br/>
        <w:t xml:space="preserve">因车辆再发生事故后已及时修复，故评估基准日定于事故发生日期；</w:t>
      </w:r>
      <w:r>
        <w:rPr>
          <w:rFonts w:ascii="宋体" w:eastAsia="宋体"/>
          <w:sz w:val="30"/>
        </w:rPr>
        <w:br/>
        <w:t xml:space="preserve">事故车辆在有厂商授权的4S店进行维修，维修金额已按保险公司合作优惠价格计算；</w:t>
      </w:r>
      <w:r>
        <w:rPr>
          <w:rFonts w:ascii="宋体" w:eastAsia="宋体"/>
          <w:sz w:val="30"/>
        </w:rPr>
        <w:br/>
        <w:t xml:space="preserve">取得相关照片材料后，评估人员对照片及损失进行比对，经过严谨比对后确定所必要更换的配件及维修部位，确认损失明细后，评估人员市场调研具备相同厂商授权资格的4S店进行询价，明确金额后撰写本报告书；</w:t>
      </w:r>
      <w:r>
        <w:rPr>
          <w:rFonts w:ascii="宋体" w:eastAsia="宋体"/>
          <w:sz w:val="30"/>
        </w:rPr>
        <w:br/>
        <w:t xml:space="preserve">建议收回残值保障双方利益。</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27069</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贰万柒仟零陆拾玖元整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4、建议收回残值保障双方利益。</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2023年08月09日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2022-08-15T08:21:55Z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