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auto" w:color="auto"/>
        <w:rPr>
          <w:rFonts w:ascii="黑体" w:hAnsi="黑体" w:cs="黑体" w:eastAsia="黑体"/>
          <w:b/>
          <w:bCs/>
          <w:sz w:val="32"/>
          <w:szCs w:val="32"/>
        </w:rPr>
      </w:pPr>
      <w:r>
        <w:rPr>
          <w:rFonts w:ascii="黑体" w:hAnsi="黑体" w:cs="黑体" w:eastAsia="黑体"/>
          <w:b/>
          <w:bCs/>
          <w:sz w:val="32"/>
          <w:szCs w:val="32"/>
        </w:rPr>
      </w:r>
      <w:r/>
    </w:p>
    <w:p>
      <w:pPr>
        <w:jc w:val="center"/>
        <w:keepLines w:val="false"/>
        <w:keepNext w:val="false"/>
        <w:pageBreakBefore w:val="false"/>
        <w:spacing w:lineRule="auto" w:line="360" w:afterAutospacing="0"/>
        <w:shd w:val="clear" w:fill="auto" w:color="auto"/>
        <w:rPr>
          <w:rFonts w:ascii="黑体" w:hAnsi="黑体" w:cs="黑体" w:eastAsia="黑体" w:hint="eastAsia"/>
          <w:sz w:val="80"/>
          <w:szCs w:val="80"/>
        </w:rPr>
      </w:pPr>
      <w:r>
        <w:rPr>
          <w:rFonts w:ascii="黑体" w:hAnsi="黑体" w:cs="黑体" w:eastAsia="黑体" w:hint="eastAsia"/>
          <w:b/>
          <w:bCs/>
          <w:sz w:val="72"/>
          <w:szCs w:val="72"/>
        </w:rPr>
        <w:t xml:space="preserve">鉴定评估报告书</w:t>
      </w:r>
      <w:r/>
    </w:p>
    <w:p>
      <w:pPr>
        <w:keepLines w:val="false"/>
        <w:keepNext w:val="false"/>
        <w:pageBreakBefore w:val="false"/>
        <w:spacing w:lineRule="auto" w:line="360" w:afterAutospacing="0"/>
        <w:shd w:val="clear" w:fill="auto" w:color="auto"/>
        <w:rPr>
          <w:sz w:val="32"/>
          <w:szCs w:val="32"/>
        </w:rPr>
      </w:pPr>
      <w:r>
        <w:rPr>
          <w:sz w:val="32"/>
          <w:szCs w:val="32"/>
        </w:rPr>
      </w:r>
      <w:r/>
    </w:p>
    <w:p>
      <w:pPr>
        <w:keepLines w:val="false"/>
        <w:keepNext w:val="false"/>
        <w:pageBreakBefore w:val="false"/>
        <w:spacing w:lineRule="auto" w:line="360" w:afterAutospacing="0"/>
        <w:shd w:val="clear" w:fill="auto" w:color="auto"/>
        <w:rPr>
          <w:sz w:val="32"/>
          <w:szCs w:val="32"/>
        </w:rPr>
      </w:pPr>
      <w:r>
        <w:rPr>
          <w:sz w:val="32"/>
          <w:szCs w:val="32"/>
        </w:rPr>
      </w:r>
      <w:r/>
    </w:p>
    <w:p>
      <w:pPr>
        <w:keepLines w:val="false"/>
        <w:keepNext w:val="false"/>
        <w:pageBreakBefore w:val="false"/>
        <w:spacing w:lineRule="auto" w:line="360" w:afterAutospacing="0"/>
        <w:shd w:val="clear" w:fill="auto" w:color="auto"/>
        <w:rPr>
          <w:sz w:val="32"/>
          <w:szCs w:val="32"/>
        </w:rPr>
      </w:pPr>
      <w:r>
        <w:rPr>
          <w:sz w:val="32"/>
          <w:szCs w:val="32"/>
        </w:rPr>
      </w:r>
      <w:r/>
    </w:p>
    <w:p>
      <w:pPr>
        <w:keepLines w:val="false"/>
        <w:keepNext w:val="false"/>
        <w:pageBreakBefore w:val="false"/>
        <w:spacing w:lineRule="auto" w:line="360" w:afterAutospacing="0"/>
        <w:shd w:val="clear" w:fill="auto" w:color="auto"/>
        <w:rPr>
          <w:rFonts w:eastAsia="宋体"/>
          <w:sz w:val="32"/>
          <w:szCs w:val="32"/>
        </w:rPr>
      </w:pPr>
      <w:r>
        <w:rPr>
          <w:rFonts w:eastAsia="宋体"/>
          <w:sz w:val="32"/>
          <w:szCs w:val="32"/>
        </w:rPr>
      </w:r>
      <w:r/>
    </w:p>
    <w:p>
      <w:pPr>
        <w:jc w:val="center"/>
        <w:keepLines w:val="false"/>
        <w:keepNext w:val="false"/>
        <w:shd w:val="clear" w:fill="auto" w:color="auto"/>
        <w:widowControl/>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mc:AlternateContent>
          <mc:Choice Requires="wpg">
            <w:drawing>
              <wp:inline xmlns:wp="http://schemas.openxmlformats.org/drawingml/2006/wordprocessingDrawing" distT="0" distB="0" distL="0" distR="0">
                <wp:extent cx="1905000" cy="1905000"/>
                <wp:effectExtent l="0" t="0" r="0" b="0"/>
                <wp:docPr id="5"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mso-wrap-distance-left:0.0pt;mso-wrap-distance-top:0.0pt;mso-wrap-distance-right:0.0pt;mso-wrap-distance-bottom:0.0pt;width:150.0pt;height:150.0pt;" stroked="false">
                <v:path textboxrect="0,0,0,0"/>
                <v:imagedata r:id="rId13" o:title=""/>
              </v:shape>
            </w:pict>
          </mc:Fallback>
        </mc:AlternateContent>
      </w:r>
      <w:r/>
    </w:p>
    <w:p>
      <w:pPr>
        <w:keepLines w:val="false"/>
        <w:keepNext w:val="false"/>
        <w:pageBreakBefore w:val="false"/>
        <w:spacing w:lineRule="auto" w:line="360" w:afterAutospacing="0"/>
        <w:shd w:val="clear" w:fill="auto" w:color="auto"/>
        <w:rPr>
          <w:sz w:val="32"/>
          <w:szCs w:val="32"/>
        </w:rPr>
      </w:pPr>
      <w:r>
        <w:rPr>
          <w:sz w:val="32"/>
          <w:szCs w:val="32"/>
        </w:rPr>
      </w:r>
      <w:r/>
    </w:p>
    <w:p>
      <w:pPr>
        <w:keepLines w:val="false"/>
        <w:keepNext w:val="false"/>
        <w:pageBreakBefore w:val="false"/>
        <w:spacing w:lineRule="auto" w:line="360" w:afterAutospacing="0"/>
        <w:shd w:val="clear" w:fill="auto" w:color="auto"/>
        <w:tabs>
          <w:tab w:val="left" w:pos="1441" w:leader="none"/>
        </w:tabs>
        <w:rPr>
          <w:rFonts w:eastAsia="微软雅黑"/>
          <w:sz w:val="32"/>
          <w:szCs w:val="32"/>
          <w:lang w:eastAsia="zh-CN"/>
        </w:rPr>
      </w:pPr>
      <w:r>
        <w:rPr>
          <w:rFonts w:eastAsia="微软雅黑"/>
          <w:sz w:val="32"/>
          <w:szCs w:val="32"/>
          <w:lang w:eastAsia="zh-CN"/>
        </w:rPr>
      </w:r>
      <w:r/>
    </w:p>
    <w:p>
      <w:pPr>
        <w:keepLines w:val="false"/>
        <w:keepNext w:val="false"/>
        <w:pageBreakBefore w:val="false"/>
        <w:spacing w:lineRule="auto" w:line="360" w:afterAutospacing="0"/>
        <w:shd w:val="clear" w:fill="auto" w:color="auto"/>
        <w:rPr>
          <w:rFonts w:ascii="黑体" w:hAnsi="黑体" w:cs="黑体" w:eastAsia="黑体"/>
          <w:color w:val="000000"/>
          <w:sz w:val="32"/>
          <w:szCs w:val="32"/>
        </w:rPr>
      </w:pPr>
      <w:r>
        <w:rPr>
          <w:rFonts w:ascii="黑体" w:hAnsi="黑体" w:cs="黑体" w:eastAsia="黑体"/>
          <w:color w:val="000000"/>
          <w:sz w:val="32"/>
          <w:szCs w:val="32"/>
        </w:rPr>
      </w:r>
      <w:r/>
    </w:p>
    <w:p>
      <w:pPr>
        <w:keepLines w:val="false"/>
        <w:keepNext w:val="false"/>
        <w:pageBreakBefore w:val="false"/>
        <w:spacing w:lineRule="auto" w:line="360" w:afterAutospacing="0"/>
        <w:shd w:val="clear" w:fill="auto" w:color="auto"/>
        <w:rPr>
          <w:sz w:val="32"/>
          <w:szCs w:val="32"/>
        </w:rPr>
      </w:pPr>
      <w:r>
        <w:rPr>
          <w:sz w:val="32"/>
          <w:szCs w:val="32"/>
        </w:rPr>
      </w:r>
      <w:r/>
    </w:p>
    <w:p>
      <w:pPr>
        <w:jc w:val="center"/>
        <w:keepLines w:val="false"/>
        <w:keepNext w:val="false"/>
        <w:shd w:val="clear" w:fill="auto" w:color="auto"/>
        <w:widowControl/>
        <w:rPr>
          <w:rFonts w:ascii="宋体" w:hAnsi="宋体" w:cs="宋体" w:eastAsia="宋体" w:hint="eastAsia"/>
          <w:sz w:val="36"/>
          <w:szCs w:val="36"/>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p>
    <w:p>
      <w:pPr>
        <w:jc w:val="center"/>
        <w:keepLines w:val="false"/>
        <w:keepNext w:val="false"/>
        <w:shd w:val="clear" w:fill="auto" w:color="auto"/>
        <w:widowControl/>
        <w:rPr>
          <w:rFonts w:ascii="宋体" w:hAnsi="宋体" w:cs="宋体" w:eastAsia="宋体" w:hint="default"/>
          <w:color w:val="00B0F0"/>
          <w:sz w:val="18"/>
          <w:szCs w:val="18"/>
          <w:lang w:val="en-US"/>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挖掘机（日立350）</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李占丰</w:t>
      </w:r>
      <w:r/>
    </w:p>
    <w:p>
      <w:pPr>
        <w:pStyle w:val="999"/>
        <w:ind w:right="23"/>
        <w:jc w:val="center"/>
        <w:keepLines w:val="false"/>
        <w:keepNext w:val="false"/>
        <w:pageBreakBefore w:val="false"/>
        <w:spacing w:lineRule="auto" w:line="360" w:after="0" w:afterAutospacing="0" w:before="0" w:beforeAutospacing="0"/>
        <w:shd w:val="clear" w:fill="auto" w:color="auto"/>
        <w:widowControl/>
        <w:rPr>
          <w:rFonts w:ascii="黑体" w:hAnsi="黑体" w:cs="黑体" w:eastAsia="黑体"/>
          <w:b/>
          <w:color w:val="454343"/>
          <w:sz w:val="72"/>
          <w:szCs w:val="72"/>
        </w:rPr>
        <w:sectPr>
          <w:footerReference w:type="default" r:id="rId9"/>
          <w:footnotePr/>
          <w:endnotePr/>
          <w:type w:val="nextPage"/>
          <w:pgSz w:w="11906" w:h="16838" w:orient="portrait"/>
          <w:pgMar w:top="1440" w:right="1080" w:bottom="1440" w:left="1080" w:header="851" w:footer="737" w:gutter="0"/>
          <w:pgNumType w:start="7"/>
          <w:cols w:num="1" w:sep="0" w:space="720" w:equalWidth="1"/>
          <w:docGrid w:linePitch="360"/>
        </w:sectPr>
      </w:pPr>
      <w:r>
        <w:rPr>
          <w:rFonts w:ascii="黑体" w:hAnsi="黑体" w:cs="黑体" w:eastAsia="黑体"/>
          <w:b/>
          <w:color w:val="454343"/>
          <w:sz w:val="72"/>
          <w:szCs w:val="72"/>
        </w:rPr>
      </w:r>
      <w:r/>
    </w:p>
    <w:p>
      <w:pPr>
        <w:ind w:left="0" w:right="315" w:firstLine="0"/>
        <w:jc w:val="center"/>
        <w:keepLines w:val="false"/>
        <w:keepNext w:val="false"/>
        <w:pageBreakBefore w:val="false"/>
        <w:spacing w:lineRule="auto" w:line="360" w:afterAutospacing="0"/>
        <w:shd w:val="clear" w:fill="auto" w:color="auto"/>
        <w:rPr>
          <w:rFonts w:ascii="黑体" w:hAnsi="黑体" w:cs="黑体" w:eastAsia="黑体" w:hint="eastAsia"/>
          <w:b/>
          <w:color w:val="454343"/>
          <w:sz w:val="48"/>
          <w:szCs w:val="48"/>
          <w:lang w:val="en-US" w:eastAsia="zh-CN"/>
        </w:rPr>
      </w:pPr>
      <w:r>
        <w:rPr>
          <w:rFonts w:ascii="黑体" w:hAnsi="黑体" w:cs="黑体" w:eastAsia="黑体" w:hint="eastAsia"/>
          <w:b/>
          <w:color w:val="454343"/>
          <w:sz w:val="48"/>
          <w:szCs w:val="48"/>
        </w:rPr>
        <w:t xml:space="preserve">价格鉴定评估报告</w:t>
      </w:r>
      <w:r/>
    </w:p>
    <w:p>
      <w:pPr>
        <w:jc w:val="center"/>
        <w:keepLines w:val="false"/>
        <w:keepNext w:val="false"/>
        <w:shd w:val="clear" w:fill="auto" w:color="auto"/>
        <w:widowControl/>
        <w:rPr>
          <w:rFonts w:ascii="宋体" w:hAnsi="宋体" w:cs="宋体" w:eastAsia="宋体" w:hint="eastAsia"/>
          <w:sz w:val="21"/>
          <w:szCs w:val="21"/>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津元丰泉鉴估字2022第0024号</w:t>
      </w:r>
      <w:r/>
    </w:p>
    <w:p>
      <w:pPr>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fill="auto" w:color="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项目名称：</w:t>
      </w:r>
      <w:r>
        <w:rPr>
          <w:rFonts w:ascii="宋体" w:eastAsia="宋体"/>
          <w:b w:val="false"/>
          <w:i w:val="false"/>
          <w:caps w:val="false"/>
          <w:color w:val="333333"/>
          <w:spacing w:val="0"/>
          <w:sz w:val="30"/>
          <w:szCs w:val="32"/>
          <w:u w:val="none"/>
          <w:shd w:val="nil" w:fill="auto" w:color="auto"/>
          <w:lang w:val="en-US" w:bidi="ar" w:eastAsia="zh-CN"/>
        </w:rPr>
        <w:t xml:space="preserve">挖掘机（日立350）</w:t>
      </w:r>
      <w:r>
        <w:rPr>
          <w:rFonts w:ascii="宋体" w:hAnsi="宋体" w:cs="宋体" w:eastAsia="宋体" w:hint="eastAsia"/>
          <w:sz w:val="28"/>
          <w:szCs w:val="28"/>
        </w:rPr>
        <w:t xml:space="preserve">价值鉴定评估项目</w:t>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auto" w:color="auto"/>
        <w:widowControl w:val="off"/>
        <w:rPr>
          <w:rFonts w:ascii="宋体" w:hAnsi="宋体" w:cs="宋体" w:eastAsia="宋体" w:hint="eastAsia"/>
          <w:sz w:val="28"/>
          <w:szCs w:val="28"/>
        </w:rPr>
      </w:pPr>
      <w:r>
        <w:rPr>
          <w:rFonts w:ascii="宋体" w:hAnsi="宋体" w:cs="宋体" w:eastAsia="宋体" w:hint="eastAsia"/>
          <w:sz w:val="28"/>
          <w:szCs w:val="28"/>
        </w:rPr>
        <w:t xml:space="preserve">委托方：</w:t>
      </w:r>
      <w:bookmarkStart w:id="0" w:name="_Hlk42691717"/>
      <w:r>
        <w:rPr>
          <w:rFonts w:ascii="宋体" w:eastAsia="宋体"/>
          <w:sz w:val="30"/>
          <w:szCs w:val="28"/>
          <w:shd w:val="nil" w:fill="auto" w:color="auto"/>
        </w:rPr>
        <w:t xml:space="preserve">天津市蓟州区人民法院</w:t>
      </w:r>
      <w:bookmarkEnd w:id="0"/>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auto" w:color="auto"/>
        <w:widowControl w:val="off"/>
        <w:rPr>
          <w:rFonts w:ascii="宋体" w:hAnsi="宋体" w:cs="宋体" w:eastAsia="宋体" w:hint="eastAsia"/>
          <w:sz w:val="28"/>
          <w:szCs w:val="28"/>
        </w:rPr>
      </w:pPr>
      <w:r>
        <w:rPr>
          <w:rFonts w:ascii="宋体" w:hAnsi="宋体" w:cs="宋体" w:eastAsia="宋体" w:hint="eastAsia"/>
          <w:sz w:val="28"/>
          <w:szCs w:val="28"/>
        </w:rPr>
        <w:t xml:space="preserve">评估方：</w:t>
      </w:r>
      <w:bookmarkStart w:id="1" w:name="_Hlk42691608"/>
      <w:r>
        <w:rPr>
          <w:rFonts w:ascii="宋体" w:eastAsia="宋体"/>
          <w:sz w:val="30"/>
          <w:szCs w:val="28"/>
          <w:shd w:val="nil" w:fill="auto" w:color="auto"/>
        </w:rPr>
        <w:t xml:space="preserve">天津元丰泉机动车鉴定评估有限公司</w:t>
      </w:r>
      <w:bookmarkEnd w:id="1"/>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fill="auto" w:color="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地址：</w:t>
      </w:r>
      <w:r>
        <w:rPr>
          <w:rFonts w:ascii="宋体" w:eastAsia="宋体"/>
          <w:b w:val="false"/>
          <w:i w:val="false"/>
          <w:caps w:val="false"/>
          <w:color w:val="333333"/>
          <w:spacing w:val="0"/>
          <w:sz w:val="30"/>
          <w:szCs w:val="32"/>
          <w:u w:val="none"/>
          <w:shd w:val="nil" w:fill="auto" w:color="auto"/>
          <w:lang w:val="en-US" w:bidi="ar" w:eastAsia="zh-CN"/>
        </w:rPr>
        <w:t xml:space="preserve">天津市和平区新兴街汉阳道50号增1号二层202</w:t>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fill="auto" w:color="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电话：</w:t>
      </w:r>
      <w:r>
        <w:rPr>
          <w:rFonts w:ascii="宋体" w:eastAsia="宋体"/>
          <w:b w:val="false"/>
          <w:i w:val="false"/>
          <w:caps w:val="false"/>
          <w:color w:val="333333"/>
          <w:spacing w:val="0"/>
          <w:sz w:val="30"/>
          <w:szCs w:val="32"/>
          <w:u w:val="none"/>
          <w:shd w:val="nil" w:fill="auto" w:color="auto"/>
          <w:lang w:val="en-US" w:bidi="ar" w:eastAsia="zh-CN"/>
        </w:rPr>
        <w:t xml:space="preserve">02229959999</w:t>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1"/>
        <w:keepLines w:val="false"/>
        <w:keepNext w:val="false"/>
        <w:pageBreakBefore w:val="false"/>
        <w:spacing w:lineRule="auto" w:line="240"/>
        <w:shd w:val="clear" w:fill="auto" w:color="auto"/>
        <w:widowControl w:val="off"/>
        <w:rPr>
          <w:rFonts w:ascii="宋体" w:hAnsi="宋体" w:cs="宋体" w:eastAsia="宋体"/>
          <w:b/>
          <w:bCs/>
          <w:sz w:val="28"/>
          <w:szCs w:val="28"/>
        </w:rPr>
      </w:pPr>
      <w:r>
        <w:rPr>
          <w:rFonts w:ascii="宋体" w:hAnsi="宋体" w:cs="宋体" w:eastAsia="宋体"/>
          <w:b/>
          <w:bCs/>
          <w:sz w:val="28"/>
          <w:szCs w:val="28"/>
        </w:rPr>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fill="auto" w:color="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评估人员：</w:t>
      </w:r>
      <w:r>
        <w:rPr>
          <w:rFonts w:ascii="宋体" w:eastAsia="宋体"/>
          <w:b w:val="false"/>
          <w:i w:val="false"/>
          <w:caps w:val="false"/>
          <w:color w:val="333333"/>
          <w:spacing w:val="0"/>
          <w:sz w:val="30"/>
          <w:szCs w:val="32"/>
          <w:u w:val="none"/>
          <w:shd w:val="nil" w:fill="auto" w:color="auto"/>
          <w:lang w:val="en-US" w:bidi="ar" w:eastAsia="zh-CN"/>
        </w:rPr>
        <w:t xml:space="preserve">朱君、刘鹏</w:t>
      </w:r>
      <w:r/>
    </w:p>
    <w:p>
      <w:pPr>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fill="auto" w:color="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评估作业日期：</w:t>
      </w:r>
      <w:bookmarkStart w:id="2" w:name="作业日期"/>
      <w:r>
        <w:rPr>
          <w:rFonts w:ascii="宋体" w:eastAsia="宋体"/>
          <w:b w:val="false"/>
          <w:i w:val="false"/>
          <w:caps w:val="false"/>
          <w:color w:val="333333"/>
          <w:spacing w:val="0"/>
          <w:sz w:val="30"/>
          <w:szCs w:val="32"/>
          <w:u w:val="none"/>
          <w:shd w:val="nil" w:fill="auto" w:color="auto"/>
          <w:lang w:val="en-US" w:bidi="ar" w:eastAsia="zh-CN"/>
        </w:rPr>
        <w:t xml:space="preserve">2022年06月10日</w:t>
      </w:r>
      <w:r>
        <w:rPr>
          <w:rFonts w:ascii="宋体" w:hAnsi="宋体" w:cs="宋体" w:eastAsia="宋体" w:hint="eastAsia"/>
          <w:sz w:val="28"/>
          <w:szCs w:val="28"/>
        </w:rPr>
        <w:t xml:space="preserve">---</w:t>
      </w:r>
      <w:bookmarkEnd w:id="2"/>
      <w:r>
        <w:rPr>
          <w:rFonts w:ascii="宋体" w:eastAsia="宋体"/>
          <w:sz w:val="30"/>
          <w:szCs w:val="28"/>
          <w:shd w:val="nil" w:fill="auto" w:color="auto"/>
        </w:rPr>
        <w:t xml:space="preserve">2022年06月27日</w:t>
      </w:r>
      <w:r/>
    </w:p>
    <w:p>
      <w:pPr>
        <w:ind w:left="0" w:firstLine="840"/>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keepLines w:val="false"/>
        <w:keepNext w:val="false"/>
        <w:pageBreakBefore w:val="false"/>
        <w:spacing w:lineRule="auto" w:line="24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0"/>
        <w:jc w:val="center"/>
        <w:keepLines w:val="false"/>
        <w:keepNext w:val="false"/>
        <w:pageBreakBefore w:val="false"/>
        <w:spacing w:lineRule="auto" w:line="240"/>
        <w:shd w:val="clear" w:fill="auto" w:color="auto"/>
        <w:widowControl w:val="off"/>
        <w:rPr>
          <w:rFonts w:ascii="宋体" w:hAnsi="宋体" w:cs="宋体" w:eastAsia="宋体" w:hint="eastAsia"/>
          <w:sz w:val="28"/>
          <w:szCs w:val="28"/>
        </w:rPr>
      </w:pPr>
      <w:r>
        <w:rPr>
          <w:rFonts w:ascii="宋体" w:eastAsia="宋体"/>
          <w:sz w:val="30"/>
          <w:szCs w:val="28"/>
          <w:shd w:val="nil" w:fill="auto" w:color="auto"/>
        </w:rPr>
        <w:t xml:space="preserve">天津元丰泉机动车鉴定评估有限公司</w:t>
      </w:r>
      <w:r/>
    </w:p>
    <w:p>
      <w:pPr>
        <w:shd w:val="clear" w:fill="auto" w:color="auto"/>
        <w:rPr>
          <w:rFonts w:ascii="宋体" w:hAnsi="宋体" w:cs="宋体" w:eastAsia="宋体"/>
          <w:sz w:val="28"/>
          <w:szCs w:val="28"/>
        </w:rPr>
      </w:pPr>
      <w:r>
        <w:rPr>
          <w:rFonts w:ascii="宋体" w:hAnsi="宋体" w:cs="宋体" w:eastAsia="宋体"/>
          <w:sz w:val="28"/>
          <w:szCs w:val="28"/>
        </w:rPr>
      </w:r>
      <w:r/>
    </w:p>
    <w:p>
      <w:pPr>
        <w:shd w:val="clear" w:fill="auto" w:color="auto"/>
        <w:rPr>
          <w:rFonts w:ascii="宋体" w:hAnsi="宋体" w:cs="宋体" w:eastAsia="宋体" w:hint="eastAsia"/>
          <w:sz w:val="28"/>
          <w:szCs w:val="28"/>
        </w:rPr>
      </w:pPr>
      <w:r>
        <w:rPr>
          <w:rFonts w:ascii="宋体" w:hAnsi="宋体" w:cs="宋体" w:eastAsia="宋体" w:hint="eastAsia"/>
          <w:sz w:val="28"/>
          <w:szCs w:val="28"/>
        </w:rPr>
        <w:br w:type="page"/>
      </w:r>
      <w:r/>
    </w:p>
    <w:p>
      <w:pPr>
        <w:ind w:left="0" w:right="315" w:firstLine="0"/>
        <w:jc w:val="center"/>
        <w:keepLines w:val="false"/>
        <w:keepNext w:val="false"/>
        <w:pageBreakBefore w:val="false"/>
        <w:spacing w:lineRule="auto" w:line="360" w:afterAutospacing="0"/>
        <w:shd w:val="clear" w:fill="auto" w:color="auto"/>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目  录</w:t>
      </w:r>
      <w:r/>
    </w:p>
    <w:p>
      <w:pPr>
        <w:pStyle w:val="999"/>
        <w:ind w:right="23" w:firstLine="600"/>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一、委托书</w:t>
      </w:r>
      <w:r/>
    </w:p>
    <w:p>
      <w:pPr>
        <w:pStyle w:val="999"/>
        <w:ind w:right="23" w:firstLine="600"/>
        <w:keepLines w:val="false"/>
        <w:keepNext w:val="false"/>
        <w:pageBreakBefore w:val="false"/>
        <w:spacing w:lineRule="auto" w:line="360" w:after="0" w:afterAutospacing="0" w:before="0" w:beforeAutospacing="0"/>
        <w:shd w:val="clear" w:fill="auto" w:color="auto"/>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二、鉴定机构承诺书</w:t>
      </w:r>
      <w:r/>
    </w:p>
    <w:p>
      <w:pPr>
        <w:pStyle w:val="999"/>
        <w:ind w:right="23" w:firstLine="600"/>
        <w:keepLines w:val="false"/>
        <w:keepNext w:val="false"/>
        <w:pageBreakBefore w:val="false"/>
        <w:spacing w:lineRule="auto" w:line="360" w:after="0" w:afterAutospacing="0" w:before="0" w:beforeAutospacing="0"/>
        <w:shd w:val="clear" w:fill="auto" w:color="auto"/>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三、鉴定人员承诺书</w:t>
      </w:r>
      <w:r/>
    </w:p>
    <w:p>
      <w:pPr>
        <w:pStyle w:val="999"/>
        <w:ind w:right="23" w:firstLine="600"/>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四、鉴定评估报告书</w:t>
      </w:r>
      <w:r/>
    </w:p>
    <w:p>
      <w:pPr>
        <w:pStyle w:val="999"/>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（一）</w:t>
      </w:r>
      <w:r>
        <w:rPr>
          <w:rFonts w:ascii="宋体" w:hAnsi="宋体" w:cs="宋体" w:eastAsia="宋体" w:hint="eastAsia"/>
          <w:color w:val="454343"/>
          <w:sz w:val="30"/>
          <w:szCs w:val="30"/>
        </w:rPr>
        <w:t xml:space="preserve">绪言</w:t>
      </w:r>
      <w:r/>
    </w:p>
    <w:p>
      <w:pPr>
        <w:pStyle w:val="999"/>
        <w:ind w:left="420" w:right="23" w:firstLine="420"/>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基本信息</w:t>
      </w:r>
      <w:r/>
    </w:p>
    <w:p>
      <w:pPr>
        <w:pStyle w:val="999"/>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鉴定评估目的</w:t>
      </w:r>
      <w:r/>
    </w:p>
    <w:p>
      <w:pPr>
        <w:pStyle w:val="999"/>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鉴定评估基准日</w:t>
      </w:r>
      <w:r/>
    </w:p>
    <w:p>
      <w:pPr>
        <w:pStyle w:val="999"/>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评估原则</w:t>
      </w:r>
      <w:r/>
    </w:p>
    <w:p>
      <w:pPr>
        <w:pStyle w:val="999"/>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六</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鉴定评估依据</w:t>
      </w:r>
      <w:r/>
    </w:p>
    <w:p>
      <w:pPr>
        <w:pStyle w:val="999"/>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七</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鉴定评估程序</w:t>
      </w:r>
      <w:r/>
    </w:p>
    <w:p>
      <w:pPr>
        <w:pStyle w:val="999"/>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八</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评估方法</w:t>
      </w:r>
      <w:r/>
    </w:p>
    <w:p>
      <w:pPr>
        <w:pStyle w:val="999"/>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九</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鉴定评估过程</w:t>
      </w:r>
      <w:r/>
    </w:p>
    <w:p>
      <w:pPr>
        <w:pStyle w:val="999"/>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鉴定评估意见</w:t>
      </w:r>
      <w:r/>
    </w:p>
    <w:p>
      <w:pPr>
        <w:pStyle w:val="999"/>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十一</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鉴定评估假设条件</w:t>
      </w:r>
      <w:r/>
    </w:p>
    <w:p>
      <w:pPr>
        <w:pStyle w:val="999"/>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特别事项说明</w:t>
      </w:r>
      <w:r/>
    </w:p>
    <w:p>
      <w:pPr>
        <w:pStyle w:val="999"/>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报告书法律效力</w:t>
      </w:r>
      <w:r/>
    </w:p>
    <w:p>
      <w:pPr>
        <w:pStyle w:val="999"/>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鉴定评估人员及复核人</w:t>
      </w:r>
      <w:r/>
    </w:p>
    <w:p>
      <w:pPr>
        <w:pStyle w:val="999"/>
        <w:ind w:left="0" w:right="23" w:firstLine="639"/>
        <w:keepLines w:val="false"/>
        <w:keepNext w:val="false"/>
        <w:pageBreakBefore w:val="false"/>
        <w:spacing w:lineRule="auto" w:line="360" w:after="0" w:afterAutospacing="0" w:before="0" w:beforeAutospacing="0"/>
        <w:shd w:val="clear" w:fill="auto" w:color="auto"/>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rPr>
        <w:t xml:space="preserve">附件</w:t>
      </w:r>
      <w:r/>
    </w:p>
    <w:p>
      <w:pPr>
        <w:keepLines w:val="false"/>
        <w:keepNext w:val="false"/>
        <w:pageBreakBefore w:val="false"/>
        <w:spacing w:lineRule="auto" w:line="360" w:afterAutospacing="0"/>
        <w:shd w:val="clear" w:fill="auto" w:color="auto"/>
        <w:rPr>
          <w:rFonts w:ascii="黑体" w:hAnsi="宋体" w:eastAsia="黑体"/>
          <w:sz w:val="44"/>
          <w:szCs w:val="44"/>
        </w:rPr>
      </w:pPr>
      <w:r>
        <w:rPr>
          <w:sz w:val="21"/>
        </w:rPr>
        <w:br w:type="page"/>
      </w:r>
      <w:r/>
    </w:p>
    <w:p>
      <w:pPr>
        <w:jc w:val="center"/>
        <w:keepLines w:val="false"/>
        <w:keepNext w:val="false"/>
        <w:pageBreakBefore w:val="false"/>
        <w:spacing w:lineRule="auto" w:line="360" w:afterAutospacing="0"/>
        <w:shd w:val="clear" w:fill="auto" w:color="auto"/>
        <w:widowControl w:val="off"/>
        <w:rPr>
          <w:rFonts w:ascii="黑体" w:hAnsi="宋体" w:eastAsia="黑体" w:hint="eastAsia"/>
          <w:b/>
          <w:bCs/>
          <w:sz w:val="48"/>
          <w:szCs w:val="48"/>
        </w:rPr>
      </w:pPr>
      <w:r>
        <w:rPr>
          <w:rFonts w:ascii="黑体" w:hAnsi="宋体" w:eastAsia="黑体" w:hint="eastAsia"/>
          <w:b/>
          <w:bCs/>
          <w:sz w:val="48"/>
          <w:szCs w:val="48"/>
        </w:rPr>
        <w:t xml:space="preserve">公司承诺书</w:t>
      </w:r>
      <w:r/>
    </w:p>
    <w:p>
      <w:pPr>
        <w:ind w:left="0" w:right="84" w:firstLine="639"/>
        <w:jc w:val="left"/>
        <w:keepLines w:val="false"/>
        <w:keepNext w:val="false"/>
        <w:pageBreakBefore w:val="false"/>
        <w:spacing w:lineRule="auto" w:line="360"/>
        <w:shd w:val="clear" w:fill="auto" w:color="auto"/>
        <w:widowControl/>
        <w:rPr>
          <w:rFonts w:ascii="宋体" w:hAnsi="宋体" w:cs="宋体" w:eastAsia="宋体" w:hint="eastAsia"/>
          <w:spacing w:val="8"/>
          <w:sz w:val="28"/>
          <w:szCs w:val="28"/>
        </w:rPr>
        <w:suppressLineNumbers w:val="0"/>
      </w:pPr>
      <w:r>
        <w:rPr>
          <w:rFonts w:ascii="宋体" w:hAnsi="宋体" w:cs="宋体" w:eastAsia="宋体" w:hint="eastAsia"/>
          <w:spacing w:val="8"/>
          <w:sz w:val="28"/>
          <w:szCs w:val="28"/>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cs="宋体" w:eastAsia="宋体" w:hint="eastAsia"/>
          <w:spacing w:val="8"/>
          <w:sz w:val="28"/>
          <w:szCs w:val="28"/>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fill="auto" w:color="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fill="auto" w:color="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fill="auto" w:color="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fill="auto" w:color="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fill="auto" w:color="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fill="auto" w:color="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fill="auto" w:color="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鉴定机构（盖章）：</w:t>
      </w:r>
      <w:r/>
    </w:p>
    <w:p>
      <w:pPr>
        <w:ind w:right="2385"/>
        <w:jc w:val="right"/>
        <w:keepLines w:val="false"/>
        <w:keepNext w:val="false"/>
        <w:shd w:val="clear" w:fill="auto" w:color="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2022年06月27日</w:t>
      </w:r>
      <w:r/>
    </w:p>
    <w:p>
      <w:pPr>
        <w:ind w:left="0" w:firstLine="0"/>
        <w:jc w:val="center"/>
        <w:keepLines w:val="false"/>
        <w:keepNext w:val="false"/>
        <w:pageBreakBefore w:val="false"/>
        <w:spacing w:lineRule="auto" w:line="420" w:afterAutospacing="0"/>
        <w:shd w:val="clear" w:fill="auto" w:color="auto"/>
        <w:widowControl w:val="off"/>
        <w:rPr>
          <w:rFonts w:ascii="宋体" w:hAnsi="宋体" w:eastAsia="宋体"/>
          <w:sz w:val="36"/>
          <w:szCs w:val="36"/>
        </w:rPr>
      </w:pPr>
      <w:r>
        <w:rPr>
          <w:rFonts w:ascii="宋体" w:hAnsi="宋体" w:hint="eastAsia"/>
          <w:spacing w:val="8"/>
          <w:sz w:val="28"/>
          <w:szCs w:val="28"/>
        </w:rPr>
        <w:br w:type="page"/>
      </w:r>
      <w:r>
        <w:rPr>
          <w:rFonts w:ascii="黑体" w:hAnsi="黑体" w:cs="黑体" w:eastAsia="黑体" w:hint="eastAsia"/>
          <w:b/>
          <w:bCs/>
          <w:sz w:val="48"/>
          <w:szCs w:val="48"/>
        </w:rPr>
        <w:t xml:space="preserve">鉴定人员承诺书</w:t>
      </w:r>
      <w:r/>
    </w:p>
    <w:p>
      <w:pPr>
        <w:ind w:left="0" w:right="84" w:firstLine="420"/>
        <w:jc w:val="left"/>
        <w:keepLines w:val="false"/>
        <w:keepNext w:val="false"/>
        <w:pageBreakBefore w:val="false"/>
        <w:spacing w:lineRule="auto" w:line="360" w:afterAutospacing="0"/>
        <w:shd w:val="clear" w:fill="auto" w:color="auto"/>
        <w:widowControl w:val="off"/>
        <w:rPr>
          <w:rFonts w:ascii="宋体" w:hAnsi="宋体" w:eastAsia="宋体"/>
          <w:sz w:val="28"/>
          <w:szCs w:val="28"/>
        </w:rPr>
        <w:outlineLvl w:val="9"/>
      </w:pPr>
      <w:r>
        <w:rPr>
          <w:rFonts w:ascii="宋体" w:hAnsi="宋体" w:eastAsia="宋体" w:hint="eastAsia"/>
          <w:sz w:val="28"/>
          <w:szCs w:val="28"/>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eastAsia="宋体" w:hint="eastAsia"/>
          <w:sz w:val="28"/>
          <w:szCs w:val="28"/>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fill="auto" w:color="auto"/>
        <w:widowControl w:val="off"/>
        <w:rPr>
          <w:rFonts w:ascii="宋体" w:hAnsi="宋体" w:eastAsia="宋体"/>
          <w:sz w:val="28"/>
          <w:szCs w:val="28"/>
        </w:rPr>
        <w:outlineLvl w:val="9"/>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fill="auto" w:color="auto"/>
        <w:widowControl w:val="off"/>
        <w:rPr>
          <w:rFonts w:ascii="宋体" w:hAnsi="宋体" w:eastAsia="宋体"/>
          <w:sz w:val="28"/>
          <w:szCs w:val="28"/>
        </w:rPr>
        <w:outlineLvl w:val="9"/>
      </w:pPr>
      <w:r>
        <w:rPr>
          <w:rFonts w:ascii="宋体" w:hAnsi="宋体" w:eastAsia="宋体" w:hint="eastAsia"/>
          <w:sz w:val="28"/>
          <w:szCs w:val="28"/>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fill="auto" w:color="auto"/>
        <w:widowControl w:val="off"/>
        <w:rPr>
          <w:rFonts w:ascii="宋体" w:hAnsi="宋体" w:eastAsia="宋体"/>
          <w:sz w:val="28"/>
          <w:szCs w:val="28"/>
        </w:rPr>
        <w:outlineLvl w:val="9"/>
      </w:pPr>
      <w:r>
        <w:rPr>
          <w:rFonts w:ascii="宋体" w:hAnsi="宋体" w:eastAsia="宋体" w:hint="eastAsia"/>
          <w:sz w:val="28"/>
          <w:szCs w:val="28"/>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fill="auto" w:color="auto"/>
        <w:widowControl w:val="off"/>
        <w:rPr>
          <w:rFonts w:ascii="宋体" w:hAnsi="宋体" w:eastAsia="宋体"/>
          <w:sz w:val="28"/>
          <w:szCs w:val="28"/>
        </w:rPr>
        <w:outlineLvl w:val="9"/>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fill="auto" w:color="auto"/>
        <w:widowControl w:val="off"/>
        <w:rPr>
          <w:rFonts w:ascii="宋体" w:hAnsi="宋体" w:eastAsia="宋体"/>
          <w:sz w:val="28"/>
          <w:szCs w:val="28"/>
        </w:rPr>
        <w:outlineLvl w:val="9"/>
      </w:pPr>
      <w:r>
        <w:rPr>
          <w:rFonts w:ascii="宋体" w:hAnsi="宋体" w:eastAsia="宋体" w:hint="eastAsia"/>
          <w:sz w:val="28"/>
          <w:szCs w:val="28"/>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fill="auto" w:color="auto"/>
        <w:widowControl w:val="off"/>
        <w:rPr>
          <w:rFonts w:ascii="宋体" w:hAnsi="宋体" w:eastAsia="宋体"/>
          <w:sz w:val="28"/>
          <w:szCs w:val="28"/>
        </w:rPr>
        <w:outlineLvl w:val="9"/>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fill="auto" w:color="auto"/>
        <w:widowControl w:val="off"/>
        <w:rPr>
          <w:rFonts w:ascii="宋体" w:hAnsi="宋体" w:eastAsia="宋体"/>
          <w:sz w:val="28"/>
          <w:szCs w:val="28"/>
        </w:rPr>
        <w:outlineLvl w:val="9"/>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fill="auto" w:color="auto"/>
        <w:widowControl w:val="off"/>
        <w:rPr>
          <w:rFonts w:ascii="宋体" w:hAnsi="宋体" w:eastAsia="宋体" w:hint="eastAsia"/>
          <w:sz w:val="28"/>
          <w:szCs w:val="28"/>
        </w:rPr>
        <w:outlineLvl w:val="9"/>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r/>
    </w:p>
    <w:p>
      <w:pPr>
        <w:ind w:left="4836" w:right="2385" w:firstLine="0"/>
        <w:jc w:val="both"/>
        <w:keepLines w:val="false"/>
        <w:keepNext w:val="false"/>
        <w:pageBreakBefore w:val="false"/>
        <w:spacing w:lineRule="auto" w:line="420" w:afterAutospacing="0"/>
        <w:shd w:val="clear" w:fill="auto" w:color="auto"/>
        <w:widowControl w:val="off"/>
        <w:rPr>
          <w:rFonts w:ascii="宋体" w:hAnsi="宋体" w:eastAsia="宋体" w:hint="eastAsia"/>
          <w:sz w:val="28"/>
          <w:szCs w:val="28"/>
        </w:rPr>
      </w:pPr>
      <w:r>
        <w:rPr>
          <w:rFonts w:ascii="宋体" w:hAnsi="宋体" w:eastAsia="宋体" w:hint="eastAsia"/>
          <w:sz w:val="28"/>
          <w:szCs w:val="28"/>
        </w:rPr>
        <w:t xml:space="preserve">承诺人员：（签名）</w:t>
      </w:r>
      <w:r/>
    </w:p>
    <w:p>
      <w:pPr>
        <w:ind w:left="0" w:right="2385" w:firstLine="0"/>
        <w:jc w:val="right"/>
        <w:keepLines w:val="false"/>
        <w:keepNext w:val="false"/>
        <w:pageBreakBefore w:val="false"/>
        <w:spacing w:lineRule="auto" w:line="420" w:afterAutospacing="0"/>
        <w:shd w:val="clear" w:fill="auto" w:color="auto"/>
        <w:widowControl w:val="off"/>
        <w:rPr>
          <w:rFonts w:ascii="宋体" w:hAnsi="宋体" w:eastAsia="宋体"/>
          <w:sz w:val="28"/>
          <w:szCs w:val="28"/>
        </w:rPr>
      </w:pPr>
      <w:r>
        <w:rPr>
          <w:rFonts w:ascii="宋体" w:hAnsi="宋体" w:eastAsia="宋体"/>
          <w:sz w:val="28"/>
          <w:szCs w:val="28"/>
        </w:rPr>
      </w:r>
      <w:r/>
    </w:p>
    <w:p>
      <w:pPr>
        <w:ind w:left="0" w:right="2385" w:firstLine="0"/>
        <w:jc w:val="right"/>
        <w:keepLines w:val="false"/>
        <w:keepNext w:val="false"/>
        <w:pageBreakBefore w:val="false"/>
        <w:spacing w:lineRule="auto" w:line="420" w:afterAutospacing="0"/>
        <w:shd w:val="clear" w:fill="auto" w:color="auto"/>
        <w:widowControl w:val="off"/>
        <w:rPr>
          <w:rFonts w:ascii="宋体" w:hAnsi="宋体" w:eastAsia="宋体"/>
          <w:sz w:val="28"/>
          <w:szCs w:val="28"/>
        </w:rPr>
      </w:pPr>
      <w:r>
        <w:rPr>
          <w:rFonts w:ascii="宋体" w:hAnsi="宋体" w:eastAsia="宋体"/>
          <w:sz w:val="28"/>
          <w:szCs w:val="28"/>
        </w:rPr>
      </w:r>
      <w:r/>
    </w:p>
    <w:p>
      <w:pPr>
        <w:ind w:left="4838" w:right="2385" w:firstLine="0"/>
        <w:jc w:val="both"/>
        <w:keepLines w:val="false"/>
        <w:keepNext w:val="false"/>
        <w:pageBreakBefore w:val="false"/>
        <w:spacing w:lineRule="auto" w:line="420" w:afterAutospacing="0"/>
        <w:shd w:val="clear" w:fill="auto" w:color="auto"/>
        <w:widowControl w:val="off"/>
        <w:rPr>
          <w:rFonts w:ascii="宋体" w:hAnsi="宋体" w:eastAsia="宋体"/>
          <w:sz w:val="28"/>
          <w:szCs w:val="28"/>
        </w:rPr>
      </w:pPr>
      <w:r>
        <w:rPr>
          <w:rFonts w:ascii="宋体" w:hAnsi="宋体" w:eastAsia="宋体" w:hint="eastAsia"/>
          <w:sz w:val="28"/>
          <w:szCs w:val="28"/>
        </w:rPr>
        <w:t xml:space="preserve">鉴定机构：</w:t>
      </w:r>
      <w:r/>
    </w:p>
    <w:p>
      <w:pPr>
        <w:ind w:left="4836" w:right="2385" w:firstLine="0"/>
        <w:jc w:val="both"/>
        <w:keepLines w:val="false"/>
        <w:keepNext w:val="false"/>
        <w:shd w:val="clear" w:fill="auto" w:color="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2022年06月27日</w:t>
      </w:r>
      <w:r/>
    </w:p>
    <w:p>
      <w:pPr>
        <w:ind w:right="2385" w:firstLine="280"/>
        <w:jc w:val="right"/>
        <w:keepLines w:val="false"/>
        <w:keepNext w:val="false"/>
        <w:pageBreakBefore w:val="false"/>
        <w:spacing w:lineRule="auto" w:line="420" w:afterAutospacing="0"/>
        <w:shd w:val="clear" w:fill="auto" w:color="auto"/>
        <w:widowControl w:val="off"/>
        <w:rPr>
          <w:rFonts w:ascii="宋体" w:hAnsi="宋体" w:eastAsia="宋体"/>
          <w:sz w:val="28"/>
          <w:szCs w:val="28"/>
        </w:rPr>
      </w:pPr>
      <w:r>
        <w:rPr>
          <w:rFonts w:ascii="宋体" w:hAnsi="宋体" w:eastAsia="宋体"/>
          <w:sz w:val="28"/>
          <w:szCs w:val="28"/>
        </w:rPr>
      </w:r>
      <w:r/>
    </w:p>
    <w:p>
      <w:pPr>
        <w:pStyle w:val="999"/>
        <w:jc w:val="both"/>
        <w:keepLines w:val="false"/>
        <w:keepNext w:val="false"/>
        <w:pageBreakBefore w:val="false"/>
        <w:spacing w:lineRule="auto" w:line="480" w:after="0" w:afterAutospacing="0" w:before="0" w:beforeAutospacing="0"/>
        <w:shd w:val="clear" w:fill="auto" w:color="auto"/>
        <w:widowControl/>
        <w:rPr>
          <w:rFonts w:ascii="黑体" w:hAnsi="黑体" w:cs="黑体" w:eastAsia="黑体"/>
          <w:b/>
          <w:bCs/>
          <w:sz w:val="28"/>
          <w:szCs w:val="28"/>
        </w:rPr>
        <w:sectPr>
          <w:footerReference w:type="default" r:id="rId10"/>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rPr>
      </w:r>
      <w:r/>
    </w:p>
    <w:p>
      <w:pPr>
        <w:pStyle w:val="999"/>
        <w:jc w:val="center"/>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bCs/>
          <w:sz w:val="48"/>
          <w:szCs w:val="48"/>
        </w:rPr>
      </w:pPr>
      <w:r>
        <w:rPr>
          <w:rFonts w:ascii="黑体" w:hAnsi="黑体" w:cs="黑体" w:eastAsia="黑体" w:hint="eastAsia"/>
          <w:b/>
          <w:bCs/>
          <w:sz w:val="48"/>
          <w:szCs w:val="48"/>
        </w:rPr>
        <w:t xml:space="preserve">鉴定评估报告书</w:t>
      </w:r>
      <w:r/>
    </w:p>
    <w:p>
      <w:pPr>
        <w:jc w:val="right"/>
        <w:keepLines w:val="false"/>
        <w:keepNext w:val="false"/>
        <w:shd w:val="clear" w:fill="auto" w:color="auto"/>
        <w:widowControl/>
        <w:rPr>
          <w:rFonts w:ascii="宋体" w:hAnsi="宋体" w:cs="宋体" w:eastAsia="宋体" w:hint="eastAsia"/>
          <w:sz w:val="21"/>
          <w:szCs w:val="21"/>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津元丰泉鉴估字2022第0024号</w:t>
      </w:r>
      <w:r/>
    </w:p>
    <w:p>
      <w:pPr>
        <w:ind w:left="16" w:right="840" w:hanging="16"/>
        <w:keepLines w:val="false"/>
        <w:keepNext w:val="false"/>
        <w:pageBreakBefore w:val="false"/>
        <w:spacing w:lineRule="auto" w:line="360" w:afterAutospacing="0"/>
        <w:shd w:val="clear" w:fill="auto" w:color="auto"/>
        <w:rPr>
          <w:rFonts w:ascii="宋体" w:hAnsi="宋体" w:cs="宋体" w:eastAsia="宋体"/>
          <w:sz w:val="21"/>
          <w:szCs w:val="21"/>
          <w:lang w:bidi="ar"/>
        </w:rPr>
      </w:pPr>
      <w:r>
        <w:rPr>
          <w:rFonts w:ascii="黑体" w:hAnsi="黑体" w:cs="黑体" w:eastAsia="黑体"/>
          <w:color w:val="454343"/>
          <w:sz w:val="32"/>
          <w:szCs w:val="32"/>
        </w:rPr>
        <w:t xml:space="preserve">一、</w:t>
      </w:r>
      <w:r>
        <w:rPr>
          <w:rFonts w:ascii="黑体" w:hAnsi="黑体" w:cs="黑体" w:eastAsia="黑体"/>
          <w:sz w:val="32"/>
          <w:szCs w:val="32"/>
        </w:rPr>
        <w:t xml:space="preserve">绪言</w:t>
      </w:r>
      <w:r/>
    </w:p>
    <w:p>
      <w:pPr>
        <w:ind w:left="0" w:firstLine="639"/>
        <w:jc w:val="left"/>
        <w:keepLines w:val="false"/>
        <w:keepNext w:val="false"/>
        <w:pageBreakBefore w:val="false"/>
        <w:spacing w:lineRule="auto" w:line="360"/>
        <w:shd w:val="clear" w:fill="auto" w:color="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rPr>
          <w:rFonts w:ascii="宋体" w:hAnsi="宋体" w:cs="宋体" w:eastAsia="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lang w:val="en-US" w:eastAsia="zh-CN"/>
        </w:rPr>
        <w:t xml:space="preserve">被鉴定对象</w:t>
      </w:r>
      <w:r>
        <w:rPr>
          <w:rFonts w:ascii="宋体" w:hAnsi="宋体" w:cs="宋体" w:eastAsia="宋体" w:hint="eastAsia"/>
          <w:sz w:val="30"/>
          <w:szCs w:val="30"/>
        </w:rPr>
        <w:t xml:space="preserve">进行了实地查勘、取证并收集相关信息作鉴定评估，在评估基准日的客观价值做出公允反映，撰写此鉴定评估报告。</w:t>
      </w:r>
      <w:r/>
    </w:p>
    <w:p>
      <w:pPr>
        <w:pStyle w:val="999"/>
        <w:numPr>
          <w:ilvl w:val="0"/>
          <w:numId w:val="1"/>
        </w:numPr>
        <w:keepLines w:val="false"/>
        <w:keepNext w:val="false"/>
        <w:pageBreakBefore w:val="false"/>
        <w:spacing w:lineRule="auto" w:line="360" w:after="0" w:afterAutospacing="0" w:before="0" w:beforeAutospacing="0"/>
        <w:shd w:val="clear" w:fill="auto" w:color="auto"/>
        <w:widowControl/>
        <w:rPr>
          <w:rFonts w:ascii="黑体" w:hAnsi="黑体" w:cs="黑体" w:eastAsia="黑体"/>
          <w:sz w:val="32"/>
          <w:szCs w:val="32"/>
        </w:rPr>
      </w:pPr>
      <w:r>
        <w:rPr>
          <w:rFonts w:ascii="黑体" w:hAnsi="黑体" w:cs="黑体" w:eastAsia="黑体"/>
          <w:sz w:val="32"/>
          <w:szCs w:val="32"/>
        </w:rPr>
        <w:t xml:space="preserve">基本信息</w:t>
      </w:r>
      <w:r/>
    </w:p>
    <w:tbl>
      <w:tblPr>
        <w:tblStyle w:val="1000"/>
        <w:tblW w:w="0" w:type="auto"/>
        <w:tblInd w:w="0" w:type="dxa"/>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autofit"/>
        <w:tblCellMar>
          <w:left w:w="108" w:type="dxa"/>
          <w:top w:w="0" w:type="dxa"/>
          <w:right w:w="108" w:type="dxa"/>
          <w:bottom w:w="0" w:type="dxa"/>
        </w:tblCellMar>
        <w:tblLook w:val="04A0" w:firstRow="1" w:lastRow="0" w:firstColumn="1" w:lastColumn="0" w:noHBand="0" w:noVBand="1"/>
      </w:tblPr>
      <w:tblGrid>
        <w:gridCol w:w="1934"/>
        <w:gridCol w:w="2387"/>
        <w:gridCol w:w="1935"/>
        <w:gridCol w:w="3706"/>
      </w:tblGrid>
      <w:tr>
        <w:trPr>
          <w:trHeight w:val="850"/>
        </w:trPr>
        <w:tc>
          <w:tcPr>
            <w:tcW w:w="2490" w:type="dxa"/>
            <w:vAlign w:val="center"/>
            <w:textDirection w:val="lrTb"/>
            <w:noWrap w:val="false"/>
          </w:tcPr>
          <w:p>
            <w:pPr>
              <w:jc w:val="center"/>
              <w:spacing w:lineRule="auto" w:line="240"/>
              <w:shd w:val="clear" w:fill="auto" w:color="auto"/>
              <w:rPr>
                <w:rFonts w:ascii="宋体" w:hAnsi="宋体" w:cs="宋体" w:eastAsia="宋体" w:hint="eastAsia"/>
                <w:sz w:val="30"/>
                <w:szCs w:val="30"/>
                <w:vertAlign w:val="baseline"/>
              </w:rPr>
            </w:pPr>
            <w:r>
              <w:rPr>
                <w:rFonts w:ascii="宋体" w:hAnsi="宋体" w:cs="宋体" w:eastAsia="宋体" w:hint="eastAsia"/>
                <w:sz w:val="30"/>
                <w:szCs w:val="30"/>
              </w:rPr>
              <w:t xml:space="preserve">委托方</w:t>
            </w:r>
            <w:r/>
          </w:p>
        </w:tc>
        <w:tc>
          <w:tcPr>
            <w:tcW w:w="2490" w:type="dxa"/>
            <w:vAlign w:val="center"/>
            <w:textDirection w:val="lrTb"/>
            <w:noWrap w:val="false"/>
          </w:tcPr>
          <w:p>
            <w:pPr>
              <w:jc w:val="left"/>
              <w:keepLines w:val="false"/>
              <w:keepNext w:val="false"/>
              <w:shd w:val="clear" w:fill="auto" w:color="auto"/>
              <w:widowControl/>
              <w:rPr>
                <w:rFonts w:ascii="宋体" w:hAnsi="宋体" w:cs="宋体" w:eastAsia="宋体" w:hint="eastAsia"/>
                <w:sz w:val="30"/>
                <w:szCs w:val="30"/>
                <w:vertAlign w:val="baseline"/>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天津市蓟州区人民法院</w:t>
            </w:r>
            <w:r/>
          </w:p>
        </w:tc>
        <w:tc>
          <w:tcPr>
            <w:tcW w:w="2491" w:type="dxa"/>
            <w:vAlign w:val="center"/>
            <w:textDirection w:val="lrTb"/>
            <w:noWrap w:val="false"/>
          </w:tcPr>
          <w:p>
            <w:pPr>
              <w:jc w:val="center"/>
              <w:spacing w:lineRule="auto" w:line="240"/>
              <w:shd w:val="clear" w:fill="auto" w:color="auto"/>
              <w:rPr>
                <w:rFonts w:ascii="宋体" w:hAnsi="宋体" w:cs="宋体" w:eastAsia="宋体" w:hint="eastAsia"/>
                <w:sz w:val="30"/>
                <w:szCs w:val="30"/>
                <w:vertAlign w:val="baseline"/>
              </w:rPr>
            </w:pPr>
            <w:r>
              <w:rPr>
                <w:rFonts w:ascii="宋体" w:hAnsi="宋体" w:cs="宋体" w:eastAsia="宋体" w:hint="eastAsia"/>
                <w:sz w:val="30"/>
                <w:szCs w:val="30"/>
              </w:rPr>
              <w:t xml:space="preserve">联系电话</w:t>
            </w:r>
            <w:r/>
          </w:p>
        </w:tc>
        <w:tc>
          <w:tcPr>
            <w:tcW w:w="2491" w:type="dxa"/>
            <w:vAlign w:val="center"/>
            <w:textDirection w:val="lrTb"/>
            <w:noWrap w:val="false"/>
          </w:tcPr>
          <w:p>
            <w:pPr>
              <w:jc w:val="left"/>
              <w:keepLines w:val="false"/>
              <w:keepNext w:val="false"/>
              <w:shd w:val="clear" w:fill="auto" w:color="auto"/>
              <w:widowControl/>
              <w:rPr>
                <w:rFonts w:ascii="宋体" w:hAnsi="宋体" w:cs="宋体" w:eastAsia="宋体" w:hint="eastAsia"/>
                <w:sz w:val="30"/>
                <w:szCs w:val="30"/>
                <w:vertAlign w:val="baseline"/>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18522678382</w:t>
            </w:r>
            <w:r/>
          </w:p>
        </w:tc>
      </w:tr>
      <w:tr>
        <w:trPr>
          <w:trHeight w:val="850"/>
        </w:trPr>
        <w:tc>
          <w:tcPr>
            <w:tcW w:w="2490" w:type="dxa"/>
            <w:vAlign w:val="center"/>
            <w:textDirection w:val="lrTb"/>
            <w:noWrap w:val="false"/>
          </w:tcPr>
          <w:p>
            <w:pPr>
              <w:jc w:val="center"/>
              <w:spacing w:lineRule="auto" w:line="240"/>
              <w:shd w:val="clear" w:fill="auto" w:color="auto"/>
              <w:rPr>
                <w:rFonts w:ascii="宋体" w:hAnsi="宋体" w:cs="宋体" w:eastAsia="宋体" w:hint="eastAsia"/>
                <w:sz w:val="30"/>
                <w:szCs w:val="30"/>
                <w:vertAlign w:val="baseline"/>
              </w:rPr>
            </w:pPr>
            <w:r>
              <w:rPr>
                <w:rFonts w:ascii="宋体" w:hAnsi="宋体" w:cs="宋体" w:eastAsia="宋体" w:hint="eastAsia"/>
                <w:sz w:val="30"/>
                <w:szCs w:val="30"/>
              </w:rPr>
              <w:t xml:space="preserve">所有人</w:t>
            </w:r>
            <w:r/>
          </w:p>
        </w:tc>
        <w:tc>
          <w:tcPr>
            <w:tcW w:w="2490" w:type="dxa"/>
            <w:vAlign w:val="center"/>
            <w:textDirection w:val="lrTb"/>
            <w:noWrap w:val="false"/>
          </w:tcPr>
          <w:p>
            <w:pPr>
              <w:jc w:val="left"/>
              <w:keepLines w:val="false"/>
              <w:keepNext w:val="false"/>
              <w:shd w:val="clear" w:fill="auto" w:color="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李占丰</w:t>
            </w:r>
            <w:r/>
          </w:p>
        </w:tc>
        <w:tc>
          <w:tcPr>
            <w:tcW w:w="2491" w:type="dxa"/>
            <w:vAlign w:val="center"/>
            <w:textDirection w:val="lrTb"/>
            <w:noWrap w:val="false"/>
          </w:tcPr>
          <w:p>
            <w:pPr>
              <w:jc w:val="center"/>
              <w:spacing w:lineRule="auto" w:line="240"/>
              <w:shd w:val="clear" w:fill="auto" w:color="auto"/>
              <w:rPr>
                <w:rFonts w:ascii="宋体" w:hAnsi="宋体" w:cs="宋体" w:eastAsia="宋体" w:hint="eastAsia"/>
                <w:sz w:val="30"/>
                <w:szCs w:val="30"/>
              </w:rPr>
            </w:pPr>
            <w:r>
              <w:rPr>
                <w:rFonts w:ascii="宋体" w:hAnsi="宋体" w:cs="宋体" w:eastAsia="宋体" w:hint="eastAsia"/>
                <w:sz w:val="30"/>
                <w:szCs w:val="30"/>
              </w:rPr>
              <w:t xml:space="preserve">证件号</w:t>
            </w:r>
            <w:r/>
          </w:p>
        </w:tc>
        <w:tc>
          <w:tcPr>
            <w:tcW w:w="2491" w:type="dxa"/>
            <w:vAlign w:val="center"/>
            <w:textDirection w:val="lrTb"/>
            <w:noWrap w:val="false"/>
          </w:tcPr>
          <w:p>
            <w:pPr>
              <w:jc w:val="left"/>
              <w:keepLines w:val="false"/>
              <w:keepNext w:val="false"/>
              <w:shd w:val="clear" w:fill="auto" w:color="auto"/>
              <w:widowControl/>
              <w:rPr>
                <w:rFonts w:ascii="宋体" w:hAnsi="宋体" w:cs="宋体" w:eastAsia="宋体" w:hint="eastAsia"/>
                <w:sz w:val="30"/>
                <w:szCs w:val="30"/>
                <w:vertAlign w:val="baseline"/>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不详</w:t>
            </w:r>
            <w:r/>
          </w:p>
        </w:tc>
      </w:tr>
      <w:tr>
        <w:trPr>
          <w:trHeight w:val="850"/>
        </w:trPr>
        <w:tc>
          <w:tcPr>
            <w:tcW w:w="2490" w:type="dxa"/>
            <w:vAlign w:val="center"/>
            <w:textDirection w:val="lrTb"/>
            <w:noWrap w:val="false"/>
          </w:tcPr>
          <w:p>
            <w:pPr>
              <w:jc w:val="center"/>
              <w:spacing w:lineRule="auto" w:line="240"/>
              <w:shd w:val="clear" w:fill="auto" w:color="auto"/>
              <w:rPr>
                <w:rFonts w:ascii="宋体" w:hAnsi="宋体" w:cs="宋体" w:eastAsia="宋体" w:hint="default"/>
                <w:sz w:val="30"/>
                <w:szCs w:val="30"/>
                <w:vertAlign w:val="baseline"/>
                <w:lang w:val="en-US" w:eastAsia="zh-CN"/>
              </w:rPr>
            </w:pPr>
            <w:r>
              <w:rPr>
                <w:rFonts w:ascii="宋体" w:hAnsi="宋体" w:cs="宋体" w:eastAsia="宋体" w:hint="eastAsia"/>
                <w:sz w:val="30"/>
                <w:szCs w:val="30"/>
                <w:vertAlign w:val="baseline"/>
                <w:lang w:val="en-US" w:eastAsia="zh-CN"/>
              </w:rPr>
              <w:t xml:space="preserve">财产名称</w:t>
            </w:r>
            <w:r/>
          </w:p>
        </w:tc>
        <w:tc>
          <w:tcPr>
            <w:gridSpan w:val="3"/>
            <w:tcW w:w="7472" w:type="dxa"/>
            <w:vAlign w:val="center"/>
            <w:textDirection w:val="lrTb"/>
            <w:noWrap w:val="false"/>
          </w:tcPr>
          <w:p>
            <w:pPr>
              <w:jc w:val="left"/>
              <w:keepLines w:val="false"/>
              <w:keepNext w:val="false"/>
              <w:shd w:val="clear" w:fill="auto" w:color="auto"/>
              <w:widowControl/>
              <w:rPr>
                <w:rFonts w:ascii="宋体" w:hAnsi="宋体" w:cs="宋体" w:eastAsia="宋体" w:hint="eastAsia"/>
                <w:sz w:val="30"/>
                <w:szCs w:val="30"/>
                <w:vertAlign w:val="baseline"/>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挖掘机（日立350）</w:t>
            </w:r>
            <w:r/>
          </w:p>
        </w:tc>
      </w:tr>
    </w:tbl>
    <w:p>
      <w:pPr>
        <w:shd w:val="clear" w:fill="auto" w:color="auto"/>
        <w:rPr>
          <w:rFonts w:ascii="黑体" w:hAnsi="黑体" w:cs="黑体" w:eastAsia="黑体"/>
          <w:sz w:val="32"/>
          <w:szCs w:val="32"/>
        </w:rPr>
      </w:pPr>
      <w:r>
        <w:rPr>
          <w:rFonts w:ascii="黑体" w:hAnsi="黑体" w:cs="黑体" w:eastAsia="黑体"/>
          <w:sz w:val="32"/>
          <w:szCs w:val="32"/>
        </w:rPr>
        <w:br w:type="page"/>
      </w:r>
      <w:r/>
    </w:p>
    <w:p>
      <w:pPr>
        <w:pStyle w:val="999"/>
        <w:numPr>
          <w:ilvl w:val="0"/>
          <w:numId w:val="0"/>
        </w:numPr>
        <w:keepLines w:val="false"/>
        <w:keepNext w:val="false"/>
        <w:pageBreakBefore w:val="false"/>
        <w:spacing w:lineRule="auto" w:line="360" w:after="0" w:afterAutospacing="0" w:before="0" w:beforeAutospacing="0"/>
        <w:shd w:val="clear" w:fill="auto" w:color="auto"/>
        <w:widowControl/>
        <w:rPr>
          <w:rFonts w:ascii="黑体" w:hAnsi="黑体" w:cs="黑体" w:eastAsia="黑体"/>
          <w:sz w:val="32"/>
          <w:szCs w:val="32"/>
        </w:rPr>
      </w:pPr>
      <w:r>
        <w:rPr>
          <w:rFonts w:ascii="黑体" w:hAnsi="黑体" w:cs="黑体" w:eastAsia="黑体" w:hint="default"/>
          <w:sz w:val="32"/>
          <w:szCs w:val="32"/>
        </w:rPr>
        <w:t xml:space="preserve">三</w:t>
      </w:r>
      <w:r>
        <w:rPr>
          <w:rFonts w:ascii="黑体" w:hAnsi="黑体" w:cs="黑体" w:eastAsia="黑体" w:hint="eastAsia"/>
          <w:sz w:val="32"/>
          <w:szCs w:val="32"/>
        </w:rPr>
        <w:t xml:space="preserve">、鉴定评估</w:t>
      </w:r>
      <w:r>
        <w:rPr>
          <w:rFonts w:ascii="黑体" w:hAnsi="黑体" w:cs="黑体" w:eastAsia="黑体"/>
          <w:sz w:val="32"/>
          <w:szCs w:val="32"/>
        </w:rPr>
        <w:t xml:space="preserve">目的 </w:t>
      </w:r>
      <w:r/>
    </w:p>
    <w:p>
      <w:pPr>
        <w:jc w:val="left"/>
        <w:keepLines w:val="false"/>
        <w:keepNext w:val="false"/>
        <w:pageBreakBefore w:val="false"/>
        <w:spacing w:lineRule="auto" w:line="360"/>
        <w:shd w:val="clear" w:fill="auto" w:color="auto"/>
        <w:widowControl/>
        <w:rPr>
          <w:rFonts w:ascii="宋体" w:hAnsi="宋体" w:cs="宋体" w:eastAsia="宋体" w:hint="eastAsia"/>
          <w:sz w:val="30"/>
          <w:szCs w:val="30"/>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为评估对象的起拍价格提供参考依据</w:t>
      </w:r>
      <w:r/>
    </w:p>
    <w:p>
      <w:pPr>
        <w:pStyle w:val="999"/>
        <w:ind w:left="0" w:firstLine="0"/>
        <w:keepLines w:val="false"/>
        <w:keepNext w:val="false"/>
        <w:pageBreakBefore w:val="false"/>
        <w:spacing w:lineRule="auto" w:line="360" w:after="0" w:afterAutospacing="0" w:before="0" w:beforeAutospacing="0"/>
        <w:shd w:val="clear" w:fill="auto" w:color="auto"/>
        <w:widowControl/>
        <w:rPr>
          <w:rFonts w:ascii="黑体" w:hAnsi="黑体" w:cs="黑体" w:eastAsia="黑体"/>
          <w:sz w:val="32"/>
          <w:szCs w:val="32"/>
        </w:rPr>
      </w:pPr>
      <w:r>
        <w:rPr>
          <w:rFonts w:ascii="黑体" w:hAnsi="黑体" w:cs="黑体" w:eastAsia="黑体" w:hint="eastAsia"/>
          <w:sz w:val="32"/>
          <w:szCs w:val="32"/>
        </w:rPr>
        <w:t xml:space="preserve">四、鉴定</w:t>
      </w:r>
      <w:r>
        <w:rPr>
          <w:rFonts w:ascii="黑体" w:hAnsi="黑体" w:cs="黑体" w:eastAsia="黑体"/>
          <w:sz w:val="32"/>
          <w:szCs w:val="32"/>
        </w:rPr>
        <w:t xml:space="preserve">评估基准日</w:t>
      </w:r>
      <w:r/>
    </w:p>
    <w:p>
      <w:pPr>
        <w:jc w:val="left"/>
        <w:keepLines w:val="false"/>
        <w:keepNext w:val="false"/>
        <w:pageBreakBefore w:val="false"/>
        <w:spacing w:lineRule="auto" w:line="360"/>
        <w:shd w:val="clear" w:fill="auto" w:color="auto"/>
        <w:widowControl/>
        <w:rPr>
          <w:rFonts w:ascii="Open Sans" w:hAnsi="Open Sans" w:cs="Open Sans" w:eastAsia="Open Sans"/>
          <w:b w:val="false"/>
          <w:i w:val="false"/>
          <w:caps w:val="false"/>
          <w:color w:val="333333"/>
          <w:spacing w:val="0"/>
          <w:sz w:val="30"/>
          <w:szCs w:val="30"/>
          <w:u w:val="none"/>
          <w:shd w:val="clear" w:color="FFFFFF" w:fill="FFFFFF"/>
          <w:lang w:val="en-US" w:bidi="ar" w:eastAsia="zh-CN"/>
        </w:rPr>
        <w:suppressLineNumbers w:val="0"/>
      </w:pPr>
      <w:r>
        <w:rPr>
          <w:rFonts w:ascii="宋体" w:hAnsi="宋体" w:cs="宋体" w:eastAsia="宋体" w:hint="eastAsia"/>
          <w:sz w:val="30"/>
          <w:szCs w:val="30"/>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2022年06月10日</w:t>
      </w:r>
      <w:r/>
    </w:p>
    <w:p>
      <w:pPr>
        <w:numPr>
          <w:ilvl w:val="0"/>
          <w:numId w:val="2"/>
        </w:numPr>
        <w:jc w:val="left"/>
        <w:keepLines w:val="false"/>
        <w:keepNext w:val="false"/>
        <w:pageBreakBefore w:val="false"/>
        <w:spacing w:lineRule="auto" w:line="360"/>
        <w:shd w:val="clear" w:fill="auto" w:color="auto"/>
        <w:widowControl/>
        <w:rPr>
          <w:rFonts w:ascii="黑体" w:hAnsi="黑体" w:cs="黑体" w:eastAsia="黑体" w:hint="eastAsia"/>
          <w:sz w:val="32"/>
          <w:szCs w:val="32"/>
          <w:lang w:val="en-US" w:bidi="ar-SA" w:eastAsia="zh-CN"/>
        </w:rPr>
        <w:suppressLineNumbers w:val="0"/>
      </w:pPr>
      <w:r>
        <w:rPr>
          <w:rFonts w:ascii="黑体" w:hAnsi="黑体" w:cs="黑体" w:eastAsia="黑体" w:hint="eastAsia"/>
          <w:sz w:val="32"/>
          <w:szCs w:val="32"/>
          <w:lang w:val="en-US" w:bidi="ar-SA" w:eastAsia="zh-CN"/>
        </w:rPr>
        <w:t xml:space="preserve">评估原则</w:t>
      </w:r>
      <w:r/>
    </w:p>
    <w:p>
      <w:pPr>
        <w:ind w:left="0" w:firstLine="0"/>
        <w:keepLines w:val="false"/>
        <w:keepNext w:val="false"/>
        <w:pageBreakBefore w:val="false"/>
        <w:spacing w:lineRule="auto" w:line="360" w:afterAutospacing="0"/>
        <w:shd w:val="clear" w:fill="auto" w:color="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（一）遵循“客观、公正、真实、科学”的工作原则，进行独立的评估</w:t>
      </w:r>
      <w:r>
        <w:rPr>
          <w:rFonts w:ascii="宋体" w:hAnsi="宋体" w:cs="宋体" w:eastAsia="宋体" w:hint="eastAsia"/>
          <w:sz w:val="32"/>
          <w:szCs w:val="32"/>
          <w:lang w:val="en-US" w:eastAsia="zh-CN"/>
        </w:rPr>
        <w:t xml:space="preserve">。</w:t>
      </w:r>
      <w:r/>
    </w:p>
    <w:p>
      <w:pPr>
        <w:ind w:left="0" w:firstLine="0"/>
        <w:keepLines w:val="false"/>
        <w:keepNext w:val="false"/>
        <w:pageBreakBefore w:val="false"/>
        <w:spacing w:lineRule="auto" w:line="360" w:afterAutospacing="0"/>
        <w:shd w:val="clear" w:fill="auto" w:color="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1、坚持客观、公正的原则：即在评估工作中，认真进行现场勘察和调查研究，掌握详实可靠的资料，采取符合实际的计价标准和方法，得出合理、可信、客观、公正的评估结果。</w:t>
      </w:r>
      <w:r/>
    </w:p>
    <w:p>
      <w:pPr>
        <w:ind w:left="0" w:firstLine="0"/>
        <w:keepLines w:val="false"/>
        <w:keepNext w:val="false"/>
        <w:pageBreakBefore w:val="false"/>
        <w:spacing w:lineRule="auto" w:line="360" w:afterAutospacing="0"/>
        <w:shd w:val="clear" w:fill="auto" w:color="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2、坚持独立的原则：即在评估工作中，排除一切干扰，严格按照国家法律和法规进行评估操作，确保资产评估工作不受外界干扰和影响。除按合同支付评估费外，评估机构和评估人员与评估业务不存在其他利害关系。</w:t>
      </w:r>
      <w:r/>
    </w:p>
    <w:p>
      <w:pPr>
        <w:ind w:left="0" w:firstLine="0"/>
        <w:keepLines w:val="false"/>
        <w:keepNext w:val="false"/>
        <w:pageBreakBefore w:val="false"/>
        <w:spacing w:lineRule="auto" w:line="360" w:afterAutospacing="0"/>
        <w:shd w:val="clear" w:fill="auto" w:color="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3、坚持科学性的原则：根据特定的评估方法，选择适用的价值类型和方法，制定科学的工作方案，采用科学的评估程序和方法，使评估结果科学、合理。</w:t>
      </w:r>
      <w:r/>
    </w:p>
    <w:p>
      <w:pPr>
        <w:ind w:left="0" w:firstLine="0"/>
        <w:keepLines w:val="false"/>
        <w:keepNext w:val="false"/>
        <w:pageBreakBefore w:val="false"/>
        <w:spacing w:lineRule="auto" w:line="360" w:afterAutospacing="0"/>
        <w:shd w:val="clear" w:fill="auto" w:color="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（二）遵循资产评估公认的经济原则，科学合理地进行评估</w:t>
      </w:r>
      <w:r>
        <w:rPr>
          <w:rFonts w:ascii="宋体" w:hAnsi="宋体" w:cs="宋体" w:eastAsia="宋体" w:hint="eastAsia"/>
          <w:sz w:val="32"/>
          <w:szCs w:val="32"/>
          <w:lang w:val="en-US" w:eastAsia="zh-CN"/>
        </w:rPr>
        <w:t xml:space="preserve">。</w:t>
      </w:r>
      <w:r/>
    </w:p>
    <w:p>
      <w:pPr>
        <w:ind w:left="0" w:firstLine="0"/>
        <w:keepLines w:val="false"/>
        <w:keepNext w:val="false"/>
        <w:pageBreakBefore w:val="false"/>
        <w:spacing w:lineRule="auto" w:line="360" w:afterAutospacing="0"/>
        <w:shd w:val="clear" w:fill="auto" w:color="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1、贡献原则：指某一资产或资产的某一构成部分的价值，取决于其对其他相关资产或资产整体的价值贡献。评估中综合考虑该项资产在整体资产构成中的重要性，而不是孤立地确定其价值。</w:t>
      </w:r>
      <w:r/>
    </w:p>
    <w:p>
      <w:pPr>
        <w:ind w:left="0" w:firstLine="0"/>
        <w:keepLines w:val="false"/>
        <w:keepNext w:val="false"/>
        <w:pageBreakBefore w:val="false"/>
        <w:spacing w:lineRule="auto" w:line="360" w:afterAutospacing="0"/>
        <w:shd w:val="clear" w:fill="auto" w:color="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2、替代原则：指同时存在几种效能相同的资产时，最低价格的资产需求最大。评估中可通过了解有替代性的资产的价值，考虑委估资产价值。</w:t>
      </w:r>
      <w:r/>
    </w:p>
    <w:p>
      <w:pPr>
        <w:ind w:left="0" w:firstLine="0"/>
        <w:keepLines w:val="false"/>
        <w:keepNext w:val="false"/>
        <w:pageBreakBefore w:val="false"/>
        <w:spacing w:lineRule="auto" w:line="360" w:afterAutospacing="0"/>
        <w:shd w:val="clear" w:fill="auto" w:color="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3、预期原则：资产的价值取决于现实资产的未来效用或获利能力。评估中通过合理预测其未来获利能力以及拥有获利能力的有效期限，确定资产价值。</w:t>
      </w:r>
      <w:r/>
    </w:p>
    <w:p>
      <w:pPr>
        <w:ind w:left="0" w:firstLine="0"/>
        <w:keepLines w:val="false"/>
        <w:keepNext w:val="false"/>
        <w:pageBreakBefore w:val="false"/>
        <w:spacing w:lineRule="auto" w:line="360" w:afterAutospacing="0"/>
        <w:shd w:val="clear" w:fill="auto" w:color="auto"/>
        <w:rPr>
          <w:rFonts w:ascii="宋体" w:hAnsi="宋体" w:cs="宋体" w:eastAsia="宋体" w:hint="default"/>
          <w:sz w:val="32"/>
          <w:szCs w:val="32"/>
          <w:lang w:val="en-US" w:eastAsia="zh-CN"/>
        </w:rPr>
      </w:pPr>
      <w:r>
        <w:rPr>
          <w:rFonts w:ascii="宋体" w:hAnsi="宋体" w:cs="宋体" w:eastAsia="宋体" w:hint="default"/>
          <w:sz w:val="32"/>
          <w:szCs w:val="32"/>
          <w:lang w:val="en-US" w:eastAsia="zh-CN"/>
        </w:rPr>
        <w:t xml:space="preserve">本次资产评估，评估人员按照国家有关国有资产管理及评估的有关法规和资产评估操作规范要求，遵循以上基本原则，对委估资产进行评估，以保证客观、公正地反映评估对象在评估基准日的公允市场价值，维护资产所有者合法权益。</w:t>
      </w:r>
      <w:r/>
    </w:p>
    <w:p>
      <w:pPr>
        <w:jc w:val="left"/>
        <w:keepLines w:val="false"/>
        <w:keepNext w:val="false"/>
        <w:pageBreakBefore w:val="false"/>
        <w:spacing w:lineRule="auto" w:line="360" w:afterAutospacing="0"/>
        <w:shd w:val="clear" w:fill="auto" w:color="auto"/>
        <w:rPr>
          <w:rFonts w:ascii="Times New Roman" w:hAnsi="Times New Roman" w:eastAsia="宋体"/>
          <w:sz w:val="30"/>
          <w:szCs w:val="30"/>
        </w:rPr>
      </w:pPr>
      <w:r/>
      <w:bookmarkStart w:id="3" w:name="_GoBack"/>
      <w:r>
        <w:rPr>
          <w:rFonts w:ascii="黑体" w:hAnsi="黑体" w:cs="黑体" w:eastAsia="黑体" w:hint="eastAsia"/>
          <w:sz w:val="32"/>
          <w:szCs w:val="32"/>
          <w:lang w:val="en-US" w:eastAsia="zh-CN"/>
        </w:rPr>
        <w:t xml:space="preserve">六</w:t>
      </w:r>
      <w:r>
        <w:rPr>
          <w:rFonts w:ascii="黑体" w:hAnsi="黑体" w:cs="黑体" w:eastAsia="黑体"/>
          <w:sz w:val="32"/>
          <w:szCs w:val="32"/>
        </w:rPr>
        <w:t xml:space="preserve">、</w:t>
      </w:r>
      <w:r>
        <w:rPr>
          <w:rFonts w:ascii="黑体" w:hAnsi="黑体" w:cs="黑体" w:eastAsia="黑体" w:hint="eastAsia"/>
          <w:sz w:val="32"/>
          <w:szCs w:val="32"/>
        </w:rPr>
        <w:t xml:space="preserve">鉴定</w:t>
      </w:r>
      <w:r>
        <w:rPr>
          <w:rFonts w:ascii="黑体" w:hAnsi="黑体" w:cs="黑体" w:eastAsia="黑体"/>
          <w:sz w:val="32"/>
          <w:szCs w:val="32"/>
        </w:rPr>
        <w:t xml:space="preserve">评估依据 </w:t>
      </w:r>
      <w:r/>
    </w:p>
    <w:p>
      <w:pPr>
        <w:ind w:left="0" w:firstLine="0"/>
        <w:jc w:val="left"/>
        <w:keepLines w:val="false"/>
        <w:keepNext w:val="false"/>
        <w:pageBreakBefore w:val="false"/>
        <w:spacing w:lineRule="auto" w:line="360" w:afterAutospacing="0"/>
        <w:shd w:val="clear" w:fill="auto" w:color="auto"/>
        <w:rPr>
          <w:rFonts w:ascii="宋体" w:hAnsi="宋体" w:cs="宋体" w:eastAsia="宋体" w:hint="eastAsia"/>
          <w:sz w:val="32"/>
          <w:szCs w:val="32"/>
          <w:lang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一</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法律、法规依据</w:t>
      </w:r>
      <w:r/>
    </w:p>
    <w:p>
      <w:pPr>
        <w:ind w:left="0" w:firstLine="0"/>
        <w:jc w:val="left"/>
        <w:keepLines w:val="false"/>
        <w:keepNext w:val="false"/>
        <w:pageBreakBefore w:val="false"/>
        <w:spacing w:lineRule="auto" w:line="360"/>
        <w:shd w:val="clear" w:fill="auto" w:color="auto"/>
        <w:widowControl/>
        <w:rPr>
          <w:sz w:val="30"/>
          <w:szCs w:val="30"/>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1、《涉案财物价格鉴证操作规程》；</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fill="auto" w:color="auto"/>
        <w:widowControl w:val="off"/>
        <w:rPr>
          <w:rFonts w:ascii="宋体" w:hAnsi="宋体" w:cs="宋体" w:eastAsia="宋体" w:hint="eastAsia"/>
          <w:sz w:val="32"/>
          <w:szCs w:val="32"/>
          <w:lang w:val="en-US"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二</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技术依据</w:t>
      </w:r>
      <w:r/>
    </w:p>
    <w:p>
      <w:pPr>
        <w:jc w:val="left"/>
        <w:keepLines w:val="false"/>
        <w:keepNext w:val="false"/>
        <w:pageBreakBefore w:val="false"/>
        <w:spacing w:lineRule="auto" w:line="360"/>
        <w:shd w:val="clear" w:fill="auto" w:color="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1、《资产评估价值类型指导意见》；</w:t>
      </w:r>
      <w:r>
        <w:rPr>
          <w:rFonts w:ascii="宋体" w:eastAsia="宋体"/>
          <w:sz w:val="30"/>
        </w:rPr>
        <w:br/>
        <w:t xml:space="preserve">2、其他相关国家/行业标准、技术规范等。</w:t>
      </w:r>
      <w:r/>
    </w:p>
    <w:p>
      <w:pPr>
        <w:numPr>
          <w:numId w:val="0"/>
        </w:numPr>
        <w:jc w:val="left"/>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lang w:val="en-US" w:eastAsia="zh-CN"/>
        </w:rPr>
      </w:pPr>
      <w:r>
        <w:rPr>
          <w:rFonts w:ascii="宋体" w:hAnsi="宋体" w:cs="宋体" w:eastAsia="宋体" w:hint="default"/>
          <w:sz w:val="32"/>
          <w:szCs w:val="32"/>
          <w:highlight w:val="none"/>
        </w:rPr>
        <w:t xml:space="preserve">（</w:t>
      </w:r>
      <w:r>
        <w:rPr>
          <w:rFonts w:ascii="宋体" w:hAnsi="宋体" w:cs="宋体" w:eastAsia="宋体" w:hint="eastAsia"/>
          <w:sz w:val="32"/>
          <w:szCs w:val="32"/>
          <w:highlight w:val="none"/>
          <w:lang w:val="en-US" w:eastAsia="zh-Hans"/>
        </w:rPr>
        <w:t xml:space="preserve">三</w:t>
      </w:r>
      <w:r>
        <w:rPr>
          <w:rFonts w:ascii="宋体" w:hAnsi="宋体" w:cs="宋体" w:eastAsia="宋体" w:hint="default"/>
          <w:sz w:val="32"/>
          <w:szCs w:val="32"/>
          <w:highlight w:val="none"/>
        </w:rPr>
        <w:t xml:space="preserve">）</w:t>
      </w:r>
      <w:r>
        <w:rPr>
          <w:rFonts w:ascii="宋体" w:hAnsi="宋体" w:cs="宋体" w:eastAsia="宋体" w:hint="eastAsia"/>
          <w:sz w:val="32"/>
          <w:szCs w:val="32"/>
          <w:highlight w:val="none"/>
        </w:rPr>
        <w:t xml:space="preserve">行为依据</w:t>
      </w:r>
      <w:r/>
    </w:p>
    <w:p>
      <w:pPr>
        <w:jc w:val="left"/>
        <w:keepLines w:val="false"/>
        <w:keepNext w:val="false"/>
        <w:pageBreakBefore w:val="false"/>
        <w:spacing w:lineRule="auto" w:line="360"/>
        <w:shd w:val="clear" w:fill="auto" w:color="auto"/>
        <w:widowControl/>
        <w:rPr>
          <w:rFonts w:ascii="宋体" w:hAnsi="宋体" w:cs="宋体" w:eastAsia="宋体" w:hint="default"/>
          <w:sz w:val="30"/>
          <w:szCs w:val="30"/>
          <w:highlight w:val="none"/>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1、天津市蓟州区人民法院委托书（(2022)津0119执技委字第005号）；</w:t>
      </w:r>
      <w:r>
        <w:rPr>
          <w:rFonts w:ascii="宋体" w:eastAsia="宋体"/>
          <w:sz w:val="30"/>
        </w:rPr>
      </w:r>
      <w:r/>
    </w:p>
    <w:p>
      <w:pPr>
        <w:numPr>
          <w:ilvl w:val="0"/>
          <w:numId w:val="0"/>
        </w:numPr>
        <w:jc w:val="left"/>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rPr>
      </w:pP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lang w:val="en-US" w:eastAsia="zh-CN"/>
        </w:rPr>
        <w:t xml:space="preserve">四</w:t>
      </w: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rPr>
        <w:t xml:space="preserve">其他材料</w:t>
      </w:r>
      <w:bookmarkEnd w:id="3"/>
      <w:r/>
      <w:r/>
    </w:p>
    <w:p>
      <w:pPr>
        <w:jc w:val="left"/>
        <w:keepLines w:val="false"/>
        <w:keepNext w:val="false"/>
        <w:pageBreakBefore w:val="false"/>
        <w:spacing w:lineRule="auto" w:line="360"/>
        <w:shd w:val="clear" w:fill="auto" w:color="auto"/>
        <w:widowControl/>
        <w:rPr>
          <w:rFonts w:ascii="宋体" w:hAnsi="宋体" w:cs="宋体" w:eastAsia="宋体" w:hint="eastAsia"/>
          <w:sz w:val="30"/>
          <w:szCs w:val="30"/>
          <w:highlight w:val="none"/>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p>
    <w:p>
      <w:pPr>
        <w:pStyle w:val="999"/>
        <w:keepLines w:val="false"/>
        <w:keepNext w:val="false"/>
        <w:pageBreakBefore w:val="false"/>
        <w:spacing w:lineRule="auto" w:line="360" w:after="0" w:afterAutospacing="0" w:before="0" w:beforeAutospacing="0"/>
        <w:shd w:val="clear" w:fill="auto" w:color="auto"/>
        <w:widowControl/>
        <w:rPr>
          <w:rFonts w:ascii="黑体" w:hAnsi="黑体" w:cs="黑体" w:eastAsia="黑体"/>
          <w:sz w:val="32"/>
          <w:szCs w:val="32"/>
        </w:rPr>
      </w:pPr>
      <w:r>
        <w:rPr>
          <w:rFonts w:ascii="黑体" w:hAnsi="黑体" w:cs="黑体" w:eastAsia="黑体" w:hint="eastAsia"/>
          <w:sz w:val="32"/>
          <w:szCs w:val="32"/>
          <w:lang w:val="en-US" w:eastAsia="zh-CN"/>
        </w:rPr>
        <w:t xml:space="preserve">七</w:t>
      </w:r>
      <w:r>
        <w:rPr>
          <w:rFonts w:ascii="黑体" w:hAnsi="黑体" w:cs="黑体" w:eastAsia="黑体" w:hint="eastAsia"/>
          <w:sz w:val="32"/>
          <w:szCs w:val="32"/>
        </w:rPr>
        <w:t xml:space="preserve">、鉴定</w:t>
      </w:r>
      <w:r>
        <w:rPr>
          <w:rFonts w:ascii="黑体" w:hAnsi="黑体" w:cs="黑体" w:eastAsia="黑体"/>
          <w:sz w:val="32"/>
          <w:szCs w:val="32"/>
        </w:rPr>
        <w:t xml:space="preserve">评估程序</w:t>
      </w:r>
      <w:r/>
    </w:p>
    <w:p>
      <w:pPr>
        <w:ind w:left="0" w:firstLine="639"/>
        <w:keepLines w:val="false"/>
        <w:keepNext w:val="false"/>
        <w:pageBreakBefore w:val="false"/>
        <w:spacing w:lineRule="auto" w:line="360" w:afterAutospacing="0"/>
        <w:shd w:val="clear" w:fill="auto" w:color="auto"/>
        <w:rPr>
          <w:rFonts w:ascii="宋体" w:hAnsi="宋体" w:cs="宋体" w:eastAsia="宋体" w:hint="eastAsia"/>
          <w:sz w:val="30"/>
          <w:szCs w:val="30"/>
        </w:rPr>
      </w:pPr>
      <w:r>
        <w:rPr>
          <w:rFonts w:ascii="宋体" w:hAnsi="宋体" w:cs="宋体" w:eastAsia="宋体" w:hint="eastAsia"/>
          <w:sz w:val="30"/>
          <w:szCs w:val="30"/>
        </w:rPr>
        <w:t xml:space="preserve">按照接受委托、信息验证、现场勘验、技术鉴定、市场调查、价值评估、撰写报告、报告送达的程序进行。</w:t>
      </w:r>
      <w:r/>
    </w:p>
    <w:p>
      <w:pPr>
        <w:pStyle w:val="999"/>
        <w:keepLines w:val="false"/>
        <w:keepNext w:val="false"/>
        <w:pageBreakBefore w:val="false"/>
        <w:spacing w:lineRule="auto" w:line="360" w:after="0" w:afterAutospacing="0" w:before="0" w:beforeAutospacing="0"/>
        <w:shd w:val="clear" w:fill="auto" w:color="auto"/>
        <w:widowControl/>
        <w:rPr>
          <w:rFonts w:ascii="黑体" w:hAnsi="黑体" w:cs="黑体" w:eastAsia="黑体"/>
          <w:sz w:val="32"/>
          <w:szCs w:val="32"/>
          <w:lang w:bidi="ar"/>
        </w:rPr>
      </w:pPr>
      <w:r>
        <w:rPr>
          <w:rFonts w:ascii="黑体" w:hAnsi="黑体" w:cs="黑体" w:eastAsia="黑体" w:hint="eastAsia"/>
          <w:sz w:val="32"/>
          <w:szCs w:val="32"/>
          <w:lang w:val="en-US" w:eastAsia="zh-CN"/>
        </w:rPr>
        <w:t xml:space="preserve">八</w:t>
      </w:r>
      <w:r>
        <w:rPr>
          <w:rFonts w:ascii="黑体" w:hAnsi="黑体" w:cs="黑体" w:eastAsia="黑体" w:hint="eastAsia"/>
          <w:sz w:val="32"/>
          <w:szCs w:val="32"/>
        </w:rPr>
        <w:t xml:space="preserve">、</w:t>
      </w:r>
      <w:r>
        <w:rPr>
          <w:rFonts w:ascii="黑体" w:hAnsi="黑体" w:cs="黑体" w:eastAsia="黑体"/>
          <w:sz w:val="32"/>
          <w:szCs w:val="32"/>
        </w:rPr>
        <w:t xml:space="preserve">评估方法</w:t>
      </w:r>
      <w:r/>
    </w:p>
    <w:p>
      <w:pPr>
        <w:jc w:val="left"/>
        <w:keepLines w:val="false"/>
        <w:keepNext w:val="false"/>
        <w:pageBreakBefore w:val="false"/>
        <w:spacing w:lineRule="auto" w:line="360"/>
        <w:shd w:val="clear" w:fill="auto" w:color="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p>
    <w:p>
      <w:pPr>
        <w:pStyle w:val="999"/>
        <w:numPr>
          <w:ilvl w:val="0"/>
          <w:numId w:val="0"/>
        </w:numPr>
        <w:keepLines w:val="false"/>
        <w:keepNext w:val="false"/>
        <w:pageBreakBefore w:val="false"/>
        <w:spacing w:lineRule="auto" w:line="360" w:after="0" w:afterAutospacing="0" w:before="0" w:beforeAutospacing="0"/>
        <w:shd w:val="clear" w:fill="auto" w:color="auto"/>
        <w:widowControl/>
        <w:rPr>
          <w:rFonts w:ascii="黑体" w:hAnsi="黑体" w:cs="黑体" w:eastAsia="黑体"/>
          <w:sz w:val="32"/>
          <w:szCs w:val="32"/>
          <w:lang w:bidi="ar"/>
        </w:rPr>
      </w:pPr>
      <w:r>
        <w:rPr>
          <w:rFonts w:ascii="黑体" w:hAnsi="黑体" w:cs="黑体" w:eastAsia="黑体" w:hint="eastAsia"/>
          <w:sz w:val="32"/>
          <w:szCs w:val="32"/>
          <w:lang w:val="en-US" w:eastAsia="zh-CN"/>
        </w:rPr>
        <w:t xml:space="preserve">九</w:t>
      </w:r>
      <w:r>
        <w:rPr>
          <w:rFonts w:ascii="黑体" w:hAnsi="黑体" w:cs="黑体" w:eastAsia="黑体" w:hint="eastAsia"/>
          <w:sz w:val="32"/>
          <w:szCs w:val="32"/>
        </w:rPr>
        <w:t xml:space="preserve">、</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评估过程</w:t>
      </w:r>
      <w:r/>
    </w:p>
    <w:p>
      <w:pPr>
        <w:pStyle w:val="999"/>
        <w:numPr>
          <w:ilvl w:val="0"/>
          <w:numId w:val="0"/>
        </w:numPr>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sz w:val="32"/>
          <w:szCs w:val="32"/>
          <w:lang w:bidi="ar"/>
        </w:rPr>
      </w:pPr>
      <w:r>
        <w:rPr>
          <w:rFonts w:ascii="黑体" w:hAnsi="黑体" w:cs="黑体" w:eastAsia="黑体"/>
          <w:sz w:val="32"/>
          <w:szCs w:val="32"/>
          <w:lang w:bidi="ar"/>
        </w:rPr>
      </w:r>
      <w:r>
        <w:rPr>
          <w:rFonts w:ascii="宋体" w:eastAsia="宋体"/>
          <w:b w:val="false"/>
          <w:i w:val="false"/>
          <w:caps w:val="false"/>
          <w:color w:val="333333"/>
          <w:spacing w:val="0"/>
          <w:sz w:val="30"/>
          <w:szCs w:val="32"/>
          <w:u w:val="none"/>
          <w:shd w:val="clear" w:color="FFFFFF" w:fill="FFFFFF"/>
          <w:lang w:val="en-US" w:bidi="ar" w:eastAsia="zh-CN"/>
        </w:rPr>
        <w:t xml:space="preserve">2022-6-10我司鉴定评估人员与申请人已到存放现场实地查勘标的物，并对标的物进行拍照取证。标的物外观有不同程度的损坏，停放时间较长已无法启动；因不能启动设备，不能进行动态查勘，目测使用功能性存在部分故障；计时表显示设备已使用时长为21944小时；外观贴标日立400型，实际为日立350型；查勘时标的物无任何手续包括但不限于购买发票及权属证明等；</w:t>
      </w:r>
      <w:r>
        <w:rPr>
          <w:rFonts w:ascii="宋体" w:eastAsia="宋体"/>
          <w:sz w:val="30"/>
        </w:rPr>
        <w:br/>
        <w:t xml:space="preserve">依据设备型号及外观推断生产年份约为2006年；</w:t>
      </w:r>
      <w:r>
        <w:rPr>
          <w:rFonts w:ascii="宋体" w:eastAsia="宋体"/>
          <w:sz w:val="30"/>
        </w:rPr>
        <w:br/>
        <w:t xml:space="preserve">取得相关信息后，我司工作人员进行市场调研该型号目前状态的市场成交价格，根据鉴定评估目的，经客观分析研判后，确定鉴定评估价格撰写本报告书。</w:t>
      </w:r>
      <w:r/>
    </w:p>
    <w:p>
      <w:pPr>
        <w:pStyle w:val="999"/>
        <w:ind w:left="0" w:firstLine="0"/>
        <w:keepLines w:val="false"/>
        <w:keepNext w:val="false"/>
        <w:pageBreakBefore w:val="false"/>
        <w:spacing w:lineRule="auto" w:line="360" w:after="0" w:afterAutospacing="0" w:before="0" w:beforeAutospacing="0"/>
        <w:shd w:val="clear" w:fill="auto" w:color="auto"/>
        <w:widowControl/>
        <w:rPr>
          <w:rFonts w:ascii="黑体" w:hAnsi="黑体" w:cs="黑体" w:eastAsia="黑体"/>
          <w:sz w:val="32"/>
          <w:szCs w:val="32"/>
          <w:lang w:bidi="ar"/>
        </w:rPr>
      </w:pPr>
      <w:r>
        <w:rPr>
          <w:rFonts w:ascii="黑体" w:hAnsi="黑体" w:cs="黑体" w:eastAsia="黑体" w:hint="eastAsia"/>
          <w:sz w:val="32"/>
          <w:szCs w:val="32"/>
          <w:lang w:val="en-US" w:eastAsia="zh-CN"/>
        </w:rPr>
        <w:t xml:space="preserve">十</w:t>
      </w:r>
      <w:r>
        <w:rPr>
          <w:rFonts w:ascii="黑体" w:hAnsi="黑体" w:cs="黑体" w:eastAsia="黑体" w:hint="eastAsia"/>
          <w:sz w:val="32"/>
          <w:szCs w:val="32"/>
        </w:rPr>
        <w:t xml:space="preserve">、鉴定</w:t>
      </w:r>
      <w:r>
        <w:rPr>
          <w:rFonts w:ascii="黑体" w:hAnsi="黑体" w:cs="黑体" w:eastAsia="黑体"/>
          <w:sz w:val="32"/>
          <w:szCs w:val="32"/>
          <w:lang w:bidi="ar"/>
        </w:rPr>
        <w:t xml:space="preserve">评估意见</w:t>
      </w:r>
      <w:r/>
    </w:p>
    <w:p>
      <w:pPr>
        <w:ind w:firstLine="420"/>
        <w:jc w:val="left"/>
        <w:keepLines w:val="false"/>
        <w:keepNext w:val="false"/>
        <w:shd w:val="clear" w:fill="auto" w:color="auto"/>
        <w:widowControl/>
        <w:rPr>
          <w:rFonts w:ascii="黑体" w:hAnsi="黑体" w:cs="黑体" w:eastAsia="黑体"/>
          <w:sz w:val="30"/>
          <w:szCs w:val="30"/>
          <w:lang w:bidi="ar"/>
        </w:rPr>
        <w:suppressLineNumbers w:val="0"/>
      </w:pPr>
      <w:r>
        <w:rPr>
          <w:rFonts w:ascii="宋体" w:hAnsi="宋体" w:cs="宋体" w:eastAsia="宋体" w:hint="eastAsia"/>
          <w:sz w:val="30"/>
          <w:szCs w:val="30"/>
        </w:rPr>
        <w:t xml:space="preserve">评估人员根据鉴定评估目的，遵循鉴定评估原则，依照鉴定评估程序，结合委托方提供的相关资料及评估对象技术性能等情况，经客观分析及估</w:t>
      </w:r>
      <w:r>
        <w:rPr>
          <w:rFonts w:ascii="宋体" w:hAnsi="宋体" w:cs="宋体" w:eastAsia="宋体"/>
          <w:b w:val="false"/>
          <w:sz w:val="30"/>
          <w:szCs w:val="30"/>
        </w:rPr>
        <w:t xml:space="preserve">算，</w:t>
      </w:r>
      <w:r>
        <w:rPr>
          <w:rFonts w:ascii="宋体" w:hAnsi="宋体" w:cs="宋体" w:eastAsia="宋体"/>
          <w:b w:val="false"/>
          <w:bCs/>
          <w:sz w:val="30"/>
          <w:szCs w:val="30"/>
          <w:shd w:val="clear" w:fill="auto" w:color="auto"/>
          <w:lang w:val="en-US" w:eastAsia="zh-CN"/>
        </w:rPr>
        <w:t xml:space="preserve">截止评估基准日鉴定评估对象的评估金额为人民币</w:t>
      </w:r>
      <w:r>
        <w:rPr>
          <w:rFonts w:ascii="宋体" w:hAnsi="宋体" w:cs="宋体" w:eastAsia="宋体"/>
          <w:b w:val="false"/>
          <w:bCs/>
          <w:sz w:val="30"/>
          <w:szCs w:val="30"/>
          <w:shd w:val="clear" w:color="FFFFFF" w:fill="FFFFFF"/>
          <w:lang w:val="en-US" w:eastAsia="zh-CN"/>
        </w:rPr>
        <w:t xml:space="preserve">：</w:t>
      </w:r>
      <w:r>
        <w:rPr>
          <w:rFonts w:ascii="仿宋" w:eastAsia="仿宋"/>
          <w:b w:val="false"/>
          <w:i w:val="false"/>
          <w:caps w:val="false"/>
          <w:color w:val="FF0000"/>
          <w:spacing w:val="0"/>
          <w:sz w:val="30"/>
          <w:szCs w:val="32"/>
          <w:u w:val="none"/>
          <w:shd w:val="nil" w:fill="auto" w:color="auto"/>
          <w:lang w:val="en-US" w:bidi="ar" w:eastAsia="zh-CN"/>
        </w:rPr>
        <w:t xml:space="preserve">34300</w:t>
      </w:r>
      <w:r>
        <w:rPr>
          <w:rFonts w:ascii="宋体" w:hAnsi="宋体" w:cs="宋体" w:eastAsia="宋体" w:hint="eastAsia"/>
          <w:b/>
          <w:bCs/>
          <w:color w:val="FF0000"/>
          <w:sz w:val="30"/>
          <w:szCs w:val="30"/>
        </w:rPr>
        <w:t xml:space="preserve">（大写人民币：</w:t>
      </w:r>
      <w:r>
        <w:rPr>
          <w:rFonts w:ascii="仿宋" w:eastAsia="仿宋"/>
          <w:b w:val="false"/>
          <w:i w:val="false"/>
          <w:caps w:val="false"/>
          <w:color w:val="FF0000"/>
          <w:spacing w:val="0"/>
          <w:sz w:val="30"/>
          <w:szCs w:val="30"/>
          <w:u w:val="none"/>
          <w:shd w:val="nil" w:fill="auto" w:color="auto"/>
          <w:lang w:val="en-US" w:bidi="ar" w:eastAsia="zh-CN"/>
        </w:rPr>
        <w:t xml:space="preserve">叁万肆仟叁佰元整</w:t>
      </w:r>
      <w:r>
        <w:rPr>
          <w:rFonts w:ascii="宋体" w:hAnsi="宋体" w:cs="宋体" w:eastAsia="宋体" w:hint="eastAsia"/>
          <w:b/>
          <w:bCs/>
          <w:color w:val="FF0000"/>
          <w:sz w:val="30"/>
          <w:szCs w:val="30"/>
        </w:rPr>
        <w:t xml:space="preserve">)</w:t>
      </w:r>
      <w:r>
        <w:rPr>
          <w:rFonts w:ascii="宋体" w:hAnsi="宋体" w:cs="宋体" w:eastAsia="宋体" w:hint="eastAsia"/>
          <w:color w:val="FF0000"/>
          <w:sz w:val="30"/>
          <w:szCs w:val="30"/>
        </w:rPr>
        <w:t xml:space="preserve">。</w:t>
      </w:r>
      <w:r/>
    </w:p>
    <w:p>
      <w:pPr>
        <w:pStyle w:val="999"/>
        <w:ind w:left="0" w:firstLine="0"/>
        <w:keepLines w:val="false"/>
        <w:keepNext w:val="false"/>
        <w:pageBreakBefore w:val="false"/>
        <w:spacing w:lineRule="auto" w:line="360" w:after="0" w:afterAutospacing="0" w:before="0" w:beforeAutospacing="0"/>
        <w:shd w:val="clear" w:fill="auto" w:color="auto"/>
        <w:widowControl/>
        <w:rPr>
          <w:rFonts w:ascii="黑体" w:hAnsi="黑体" w:cs="黑体" w:eastAsia="黑体"/>
          <w:color w:val="454343"/>
          <w:sz w:val="32"/>
          <w:szCs w:val="32"/>
          <w:lang w:bidi="ar"/>
        </w:rPr>
      </w:pPr>
      <w:r>
        <w:rPr>
          <w:rFonts w:ascii="黑体" w:hAnsi="黑体" w:cs="黑体" w:eastAsia="黑体" w:hint="eastAsia"/>
          <w:sz w:val="32"/>
          <w:szCs w:val="32"/>
          <w:lang w:bidi="ar"/>
        </w:rPr>
        <w:t xml:space="preserve">十</w:t>
      </w:r>
      <w:r>
        <w:rPr>
          <w:rFonts w:ascii="黑体" w:hAnsi="黑体" w:cs="黑体" w:eastAsia="黑体" w:hint="eastAsia"/>
          <w:sz w:val="32"/>
          <w:szCs w:val="32"/>
          <w:lang w:val="en-US" w:bidi="ar" w:eastAsia="zh-CN"/>
        </w:rPr>
        <w:t xml:space="preserve">一</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评估假设</w:t>
      </w:r>
      <w:r>
        <w:rPr>
          <w:rFonts w:ascii="黑体" w:hAnsi="黑体" w:cs="黑体" w:eastAsia="黑体" w:hint="eastAsia"/>
          <w:sz w:val="32"/>
          <w:szCs w:val="32"/>
          <w:lang w:bidi="ar"/>
        </w:rPr>
        <w:t xml:space="preserve">条件</w:t>
      </w:r>
      <w:r/>
    </w:p>
    <w:p>
      <w:pPr>
        <w:pStyle w:val="999"/>
        <w:ind w:left="0" w:firstLine="0"/>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1.公开市场假设；</w:t>
      </w:r>
      <w:r/>
    </w:p>
    <w:p>
      <w:pPr>
        <w:pStyle w:val="999"/>
        <w:ind w:left="0" w:firstLine="0"/>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2.评估对象具有合法的所有权；</w:t>
      </w:r>
      <w:r/>
    </w:p>
    <w:p>
      <w:pPr>
        <w:pStyle w:val="999"/>
        <w:ind w:left="0" w:firstLine="0"/>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3.评估对象修复后可持续使用。</w:t>
      </w:r>
      <w:r/>
    </w:p>
    <w:p>
      <w:pPr>
        <w:pStyle w:val="999"/>
        <w:ind w:left="0" w:firstLine="0"/>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4</w:t>
      </w:r>
      <w:r>
        <w:rPr>
          <w:rFonts w:ascii="宋体" w:hAnsi="宋体" w:cs="宋体" w:eastAsia="宋体" w:hint="eastAsia"/>
          <w:color w:val="454343"/>
          <w:sz w:val="30"/>
          <w:szCs w:val="30"/>
          <w:lang w:bidi="ar" w:eastAsia="zh-CN"/>
        </w:rPr>
        <w:t xml:space="preserve">.</w:t>
      </w:r>
      <w:r>
        <w:rPr>
          <w:rFonts w:ascii="宋体" w:hAnsi="宋体" w:cs="宋体" w:eastAsia="宋体" w:hint="eastAsia"/>
          <w:color w:val="454343"/>
          <w:sz w:val="30"/>
          <w:szCs w:val="30"/>
          <w:lang w:bidi="ar"/>
        </w:rPr>
        <w:t xml:space="preserve">清算假设</w:t>
      </w:r>
      <w:r/>
    </w:p>
    <w:p>
      <w:pPr>
        <w:pStyle w:val="999"/>
        <w:ind w:left="0" w:firstLine="0"/>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sz w:val="32"/>
          <w:szCs w:val="32"/>
          <w:lang w:bidi="ar" w:eastAsia="zh-CN"/>
        </w:rPr>
      </w:pPr>
      <w:r>
        <w:rPr>
          <w:rFonts w:ascii="黑体" w:hAnsi="黑体" w:cs="黑体" w:eastAsia="黑体" w:hint="eastAsia"/>
          <w:sz w:val="32"/>
          <w:szCs w:val="32"/>
          <w:lang w:bidi="ar"/>
        </w:rPr>
        <w:t xml:space="preserve">十</w:t>
      </w:r>
      <w:r>
        <w:rPr>
          <w:rFonts w:ascii="黑体" w:hAnsi="黑体" w:cs="黑体" w:eastAsia="黑体" w:hint="eastAsia"/>
          <w:sz w:val="32"/>
          <w:szCs w:val="32"/>
          <w:lang w:val="en-US" w:bidi="ar" w:eastAsia="zh-CN"/>
        </w:rPr>
        <w:t xml:space="preserve">二</w:t>
      </w:r>
      <w:r>
        <w:rPr>
          <w:rFonts w:ascii="黑体" w:hAnsi="黑体" w:cs="黑体" w:eastAsia="黑体" w:hint="eastAsia"/>
          <w:sz w:val="32"/>
          <w:szCs w:val="32"/>
          <w:lang w:bidi="ar"/>
        </w:rPr>
        <w:t xml:space="preserve">、</w:t>
      </w:r>
      <w:r>
        <w:rPr>
          <w:rFonts w:ascii="黑体" w:hAnsi="黑体" w:cs="黑体" w:eastAsia="黑体"/>
          <w:sz w:val="32"/>
          <w:szCs w:val="32"/>
          <w:lang w:bidi="ar"/>
        </w:rPr>
        <w:t xml:space="preserve">特别说明事项</w:t>
      </w:r>
      <w:r/>
    </w:p>
    <w:p>
      <w:pPr>
        <w:jc w:val="left"/>
        <w:keepLines w:val="false"/>
        <w:keepNext w:val="false"/>
        <w:pageBreakBefore w:val="false"/>
        <w:spacing w:lineRule="auto" w:line="360"/>
        <w:shd w:val="clear" w:fill="auto" w:color="auto"/>
        <w:widowControl/>
        <w:rPr>
          <w:rFonts w:ascii="宋体" w:hAnsi="宋体" w:cs="宋体" w:eastAsia="宋体" w:hint="eastAsia"/>
          <w:sz w:val="30"/>
          <w:szCs w:val="30"/>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                                                                                                            </w:t>
      </w:r>
      <w:r>
        <w:rPr>
          <w:rFonts w:ascii="宋体" w:eastAsia="宋体"/>
          <w:sz w:val="30"/>
        </w:rPr>
        <w:t xml:space="preserve">                                                                                                                                                                                                                                                               。</w:t>
      </w:r>
      <w:r/>
    </w:p>
    <w:p>
      <w:pPr>
        <w:pStyle w:val="999"/>
        <w:ind w:left="0" w:firstLine="0"/>
        <w:keepLines w:val="false"/>
        <w:keepNext w:val="false"/>
        <w:pageBreakBefore w:val="false"/>
        <w:spacing w:lineRule="auto" w:line="360" w:after="0" w:afterAutospacing="0" w:before="0" w:beforeAutospacing="0"/>
        <w:shd w:val="clear" w:fill="auto" w:color="auto"/>
        <w:widowControl/>
        <w:rPr>
          <w:rFonts w:ascii="黑体" w:hAnsi="黑体" w:cs="黑体" w:eastAsia="黑体"/>
          <w:sz w:val="32"/>
          <w:szCs w:val="32"/>
          <w:lang w:bidi="ar"/>
        </w:rPr>
      </w:pPr>
      <w:r>
        <w:rPr>
          <w:rFonts w:ascii="黑体" w:hAnsi="黑体" w:cs="黑体" w:eastAsia="黑体" w:hint="eastAsia"/>
          <w:sz w:val="32"/>
          <w:szCs w:val="32"/>
          <w:lang w:bidi="ar"/>
        </w:rPr>
        <w:t xml:space="preserve">十</w:t>
      </w:r>
      <w:r>
        <w:rPr>
          <w:rFonts w:ascii="黑体" w:hAnsi="黑体" w:cs="黑体" w:eastAsia="黑体" w:hint="eastAsia"/>
          <w:sz w:val="32"/>
          <w:szCs w:val="32"/>
          <w:lang w:val="en-US" w:bidi="ar" w:eastAsia="zh-CN"/>
        </w:rPr>
        <w:t xml:space="preserve">三</w:t>
      </w:r>
      <w:r>
        <w:rPr>
          <w:rFonts w:ascii="黑体" w:hAnsi="黑体" w:cs="黑体" w:eastAsia="黑体" w:hint="eastAsia"/>
          <w:sz w:val="32"/>
          <w:szCs w:val="32"/>
          <w:lang w:bidi="ar"/>
        </w:rPr>
        <w:t xml:space="preserve">、</w:t>
      </w:r>
      <w:r>
        <w:rPr>
          <w:rFonts w:ascii="黑体" w:hAnsi="黑体" w:cs="黑体" w:eastAsia="黑体"/>
          <w:sz w:val="32"/>
          <w:szCs w:val="32"/>
          <w:lang w:bidi="ar"/>
        </w:rPr>
        <w:t xml:space="preserve">报告书法律效力</w:t>
      </w:r>
      <w:r/>
    </w:p>
    <w:p>
      <w:pPr>
        <w:jc w:val="left"/>
        <w:keepLines w:val="false"/>
        <w:keepNext w:val="false"/>
        <w:pageBreakBefore w:val="false"/>
        <w:spacing w:lineRule="auto" w:line="360"/>
        <w:shd w:val="clear" w:fill="auto" w:color="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2023年06月26日</w:t>
      </w:r>
      <w:r>
        <w:rPr>
          <w:rFonts w:ascii="宋体" w:hAnsi="宋体" w:cs="宋体" w:eastAsia="宋体" w:hint="eastAsia"/>
          <w:sz w:val="30"/>
          <w:szCs w:val="30"/>
        </w:rPr>
        <w:t xml:space="preserve">止；</w:t>
      </w:r>
      <w:r/>
    </w:p>
    <w:p>
      <w:pPr>
        <w:ind w:left="0" w:firstLine="0"/>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hint="eastAsia"/>
          <w:sz w:val="30"/>
          <w:szCs w:val="30"/>
        </w:rPr>
        <w:t xml:space="preserve">3.委托方</w:t>
      </w:r>
      <w:r>
        <w:rPr>
          <w:rFonts w:ascii="宋体" w:hAnsi="宋体" w:cs="宋体" w:eastAsia="宋体"/>
          <w:sz w:val="30"/>
          <w:szCs w:val="30"/>
        </w:rPr>
        <w:t xml:space="preserve">如对</w:t>
      </w:r>
      <w:r>
        <w:rPr>
          <w:rFonts w:ascii="宋体" w:hAnsi="宋体" w:cs="宋体" w:eastAsia="宋体" w:hint="eastAsia"/>
          <w:sz w:val="30"/>
          <w:szCs w:val="30"/>
        </w:rPr>
        <w:t xml:space="preserve">本报告书存</w:t>
      </w:r>
      <w:r>
        <w:rPr>
          <w:rFonts w:ascii="宋体" w:hAnsi="宋体" w:cs="宋体" w:eastAsia="宋体"/>
          <w:sz w:val="30"/>
          <w:szCs w:val="30"/>
        </w:rPr>
        <w:t xml:space="preserve">有异议，可于报告书送达之日起10日内通过庭审质证或者申请重新鉴定、补充鉴定等方式解决。</w:t>
      </w:r>
      <w:r/>
    </w:p>
    <w:p>
      <w:pPr>
        <w:keepLines w:val="false"/>
        <w:keepNext w:val="false"/>
        <w:pageBreakBefore w:val="false"/>
        <w:spacing w:lineRule="auto" w:line="360"/>
        <w:shd w:val="clear" w:fill="auto" w:color="auto"/>
        <w:rPr>
          <w:rFonts w:ascii="宋体" w:hAnsi="宋体" w:cs="宋体" w:eastAsia="宋体"/>
          <w:sz w:val="28"/>
          <w:szCs w:val="28"/>
        </w:rPr>
      </w:pPr>
      <w:r/>
      <w:r>
        <w:rPr>
          <w:rFonts w:ascii="黑体" w:hAnsi="黑体" w:cs="黑体" w:eastAsia="黑体" w:hint="eastAsia"/>
          <w:bCs/>
          <w:sz w:val="32"/>
          <w:szCs w:val="32"/>
        </w:rPr>
        <w:t xml:space="preserve">十</w:t>
      </w:r>
      <w:r>
        <w:rPr>
          <w:rFonts w:ascii="黑体" w:hAnsi="黑体" w:cs="黑体" w:eastAsia="黑体" w:hint="eastAsia"/>
          <w:bCs/>
          <w:sz w:val="32"/>
          <w:szCs w:val="32"/>
          <w:lang w:val="en-US" w:eastAsia="zh-CN"/>
        </w:rPr>
        <w:t xml:space="preserve">四</w:t>
      </w:r>
      <w:r>
        <w:rPr>
          <w:rFonts w:ascii="黑体" w:hAnsi="黑体" w:cs="黑体" w:eastAsia="黑体" w:hint="eastAsia"/>
          <w:bCs/>
          <w:sz w:val="32"/>
          <w:szCs w:val="32"/>
        </w:rPr>
        <w:t xml:space="preserve">、鉴定评估人员及复核人 </w:t>
      </w:r>
      <w:r/>
    </w:p>
    <w:p>
      <w:pPr>
        <w:jc w:val="left"/>
        <w:keepLines w:val="false"/>
        <w:keepNext w:val="false"/>
        <w:shd w:val="clear" w:fill="auto" w:color="auto"/>
        <w:widowControl/>
        <w:suppressLineNumbers w:val="0"/>
      </w:pPr>
      <w:r>
        <w:rPr>
          <w:rFonts w:ascii="宋体" w:hAnsi="宋体" w:cs="宋体" w:eastAsia="宋体" w:hint="eastAsia"/>
          <w:sz w:val="30"/>
          <w:szCs w:val="30"/>
        </w:rPr>
        <w:t xml:space="preserve">鉴定评估人员：(签字)  </w:t>
      </w:r>
      <w:r>
        <w:rPr>
          <w:rFonts w:ascii="宋体" w:hAnsi="宋体" w:cs="宋体" w:eastAsia="宋体" w:hint="eastAsia"/>
          <w:sz w:val="30"/>
          <w:szCs w:val="30"/>
          <w:lang w:val="en-US" w:eastAsia="zh-CN"/>
        </w:rPr>
        <w:t xml:space="preserve">           </w:t>
      </w:r>
      <w:r>
        <w:rPr>
          <w:rFonts w:ascii="宋体" w:eastAsia="宋体"/>
          <w:b w:val="false"/>
          <w:i w:val="false"/>
          <w:caps w:val="false"/>
          <w:color w:val="333333"/>
          <w:spacing w:val="0"/>
          <w:sz w:val="30"/>
          <w:szCs w:val="32"/>
          <w:u w:val="none"/>
          <w:shd w:val="nil" w:fill="auto" w:color="auto"/>
          <w:lang w:val="en-US" w:bidi="ar" w:eastAsia="zh-CN"/>
        </w:rPr>
      </w:r>
      <w:r/>
    </w:p>
    <w:p>
      <w:pPr>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sz w:val="30"/>
          <w:szCs w:val="30"/>
        </w:rPr>
      </w:r>
      <w:r/>
    </w:p>
    <w:p>
      <w:pPr>
        <w:jc w:val="left"/>
        <w:keepLines w:val="false"/>
        <w:keepNext w:val="false"/>
        <w:shd w:val="clear" w:fill="auto" w:color="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复核人：（签字）</w:t>
      </w:r>
      <w:r/>
    </w:p>
    <w:p>
      <w:pPr>
        <w:ind w:left="0" w:right="1344" w:firstLine="1059"/>
        <w:jc w:val="center"/>
        <w:keepLines w:val="false"/>
        <w:keepNext w:val="false"/>
        <w:pageBreakBefore w:val="false"/>
        <w:spacing w:lineRule="auto" w:line="360" w:afterAutospacing="0"/>
        <w:shd w:val="clear" w:fill="auto" w:color="auto"/>
        <w:tabs>
          <w:tab w:val="left" w:pos="4840" w:leader="none"/>
        </w:tabs>
        <w:rPr>
          <w:rFonts w:ascii="宋体" w:hAnsi="宋体" w:cs="宋体" w:eastAsia="宋体"/>
          <w:sz w:val="30"/>
          <w:szCs w:val="30"/>
        </w:rPr>
      </w:pPr>
      <w:r>
        <w:rPr>
          <w:rFonts w:ascii="宋体" w:hAnsi="宋体" w:cs="宋体" w:eastAsia="宋体" w:hint="eastAsia"/>
          <w:sz w:val="30"/>
          <w:szCs w:val="30"/>
          <w:lang w:val="en-US" w:eastAsia="zh-CN"/>
        </w:rPr>
        <w:t xml:space="preserve">         </w:t>
      </w:r>
      <w:r>
        <w:rPr>
          <w:rFonts w:ascii="宋体" w:hAnsi="宋体" w:cs="宋体" w:eastAsia="宋体" w:hint="eastAsia"/>
          <w:sz w:val="30"/>
          <w:szCs w:val="30"/>
        </w:rPr>
      </w:r>
      <w:r/>
      <w:r>
        <w:rPr>
          <w:rFonts w:ascii="宋体" w:hAnsi="宋体" w:cs="宋体" w:eastAsia="宋体"/>
          <w:sz w:val="30"/>
          <w:szCs w:val="30"/>
        </w:rPr>
      </w:r>
      <w:r/>
    </w:p>
    <w:p>
      <w:pPr>
        <w:ind w:firstLine="420"/>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hint="eastAsia"/>
          <w:sz w:val="30"/>
          <w:szCs w:val="30"/>
        </w:rPr>
        <mc:AlternateContent>
          <mc:Choice Requires="wpg">
            <w:drawing>
              <wp:inline xmlns:wp="http://schemas.openxmlformats.org/drawingml/2006/wordprocessingDrawing" distT="0" distB="0" distL="0" distR="0">
                <wp:extent cx="952500" cy="952500"/>
                <wp:effectExtent l="0" t="0" r="0" b="0"/>
                <wp:docPr id="6"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 o:spid="_x0000_s5"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sz w:val="30"/>
          <w:szCs w:val="30"/>
        </w:rPr>
      </w:r>
      <w:r/>
    </w:p>
    <w:p>
      <w:pPr>
        <w:jc w:val="right"/>
        <w:keepLines w:val="false"/>
        <w:keepNext w:val="false"/>
        <w:shd w:val="clear" w:fill="auto" w:color="auto"/>
        <w:widowControl/>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jc w:val="right"/>
        <w:keepLines w:val="false"/>
        <w:keepNext w:val="false"/>
        <w:shd w:val="clear" w:fill="auto" w:color="auto"/>
        <w:widowControl/>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天津元丰泉机动车鉴定评估有限公司</w:t>
      </w:r>
      <w:r/>
    </w:p>
    <w:p>
      <w:pPr>
        <w:jc w:val="right"/>
        <w:keepLines w:val="false"/>
        <w:keepNext w:val="false"/>
        <w:shd w:val="clear" w:fill="auto" w:color="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2022年06月27日</w:t>
      </w:r>
      <w:r/>
    </w:p>
    <w:p>
      <w:pPr>
        <w:shd w:val="clear" w:fill="auto" w:color="auto"/>
        <w:rPr>
          <w:rFonts w:ascii="黑体" w:hAnsi="黑体" w:cs="黑体" w:eastAsia="黑体"/>
          <w:sz w:val="32"/>
          <w:szCs w:val="32"/>
          <w:lang w:bidi="ar" w:eastAsia="zh-CN"/>
        </w:rPr>
      </w:pPr>
      <w:r>
        <w:rPr>
          <w:rFonts w:ascii="黑体" w:hAnsi="黑体" w:cs="黑体" w:eastAsia="黑体"/>
          <w:sz w:val="32"/>
          <w:szCs w:val="32"/>
          <w:lang w:bidi="ar" w:eastAsia="zh-CN"/>
        </w:rPr>
      </w:r>
      <w:r/>
    </w:p>
    <w:sectPr>
      <w:footerReference w:type="default" r:id="rId11"/>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微软雅黑">
    <w:panose1 w:val="020B0503020204020204"/>
  </w:font>
  <w:font w:name="Calibri">
    <w:panose1 w:val="020B0503020204020204"/>
  </w:font>
  <w:font w:name="Arial">
    <w:panose1 w:val="020B0604020202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97"/>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997"/>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997"/>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97"/>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997"/>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997"/>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t xml:space="preserve">天津元丰泉鉴定评估有限公司</w:t>
    </w:r>
    <w:r>
      <w:rPr>
        <w:rFonts w:hint="eastAsia"/>
        <w:sz w:val="21"/>
      </w:r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97"/>
      <w:ind w:right="360"/>
      <w:rPr>
        <w:rFonts w:eastAsia="等线" w:hint="eastAsia"/>
        <w:lang w:val="en-US" w:eastAsia="zh-CN"/>
      </w:rPr>
      <w:pBdr>
        <w:top w:val="single" w:color="A5A5A5" w:sz="4" w:space="1"/>
      </w:pBdr>
    </w:pPr>
    <w:r>
      <w:rPr>
        <w:sz w:val="18"/>
      </w:rPr>
      <w:t xml:space="preserve">天津元丰泉机动车鉴定评估有限公司</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5"/>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abstractNum w:abstractNumId="1">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1"/>
  </w:num>
  <w:num w:numId="2">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89">
    <w:name w:val="table of figures"/>
    <w:basedOn w:val="994"/>
    <w:next w:val="994"/>
    <w:uiPriority w:val="99"/>
    <w:unhideWhenUsed/>
    <w:pPr>
      <w:spacing w:after="0" w:afterAutospacing="0"/>
    </w:pPr>
  </w:style>
  <w:style w:type="paragraph" w:styleId="820">
    <w:name w:val="Heading 1"/>
    <w:basedOn w:val="994"/>
    <w:next w:val="994"/>
    <w:link w:val="821"/>
    <w:qFormat/>
    <w:uiPriority w:val="9"/>
    <w:rPr>
      <w:rFonts w:ascii="Arial" w:hAnsi="Arial" w:cs="Arial" w:eastAsia="Arial"/>
      <w:sz w:val="40"/>
      <w:szCs w:val="40"/>
    </w:rPr>
    <w:pPr>
      <w:keepLines/>
      <w:keepNext/>
      <w:spacing w:after="200" w:before="480"/>
      <w:outlineLvl w:val="0"/>
    </w:pPr>
  </w:style>
  <w:style w:type="character" w:styleId="821">
    <w:name w:val="Heading 1 Char"/>
    <w:basedOn w:val="995"/>
    <w:link w:val="820"/>
    <w:uiPriority w:val="9"/>
    <w:rPr>
      <w:rFonts w:ascii="Arial" w:hAnsi="Arial" w:cs="Arial" w:eastAsia="Arial"/>
      <w:sz w:val="40"/>
      <w:szCs w:val="40"/>
    </w:rPr>
  </w:style>
  <w:style w:type="paragraph" w:styleId="822">
    <w:name w:val="Heading 2"/>
    <w:basedOn w:val="994"/>
    <w:next w:val="994"/>
    <w:link w:val="823"/>
    <w:qFormat/>
    <w:uiPriority w:val="9"/>
    <w:unhideWhenUsed/>
    <w:rPr>
      <w:rFonts w:ascii="Arial" w:hAnsi="Arial" w:cs="Arial" w:eastAsia="Arial"/>
      <w:sz w:val="34"/>
    </w:rPr>
    <w:pPr>
      <w:keepLines/>
      <w:keepNext/>
      <w:spacing w:after="200" w:before="360"/>
      <w:outlineLvl w:val="1"/>
    </w:pPr>
  </w:style>
  <w:style w:type="character" w:styleId="823">
    <w:name w:val="Heading 2 Char"/>
    <w:basedOn w:val="995"/>
    <w:link w:val="822"/>
    <w:uiPriority w:val="9"/>
    <w:rPr>
      <w:rFonts w:ascii="Arial" w:hAnsi="Arial" w:cs="Arial" w:eastAsia="Arial"/>
      <w:sz w:val="34"/>
    </w:rPr>
  </w:style>
  <w:style w:type="paragraph" w:styleId="824">
    <w:name w:val="Heading 3"/>
    <w:basedOn w:val="994"/>
    <w:next w:val="994"/>
    <w:link w:val="825"/>
    <w:qFormat/>
    <w:uiPriority w:val="9"/>
    <w:unhideWhenUsed/>
    <w:rPr>
      <w:rFonts w:ascii="Arial" w:hAnsi="Arial" w:cs="Arial" w:eastAsia="Arial"/>
      <w:sz w:val="30"/>
      <w:szCs w:val="30"/>
    </w:rPr>
    <w:pPr>
      <w:keepLines/>
      <w:keepNext/>
      <w:spacing w:after="200" w:before="320"/>
      <w:outlineLvl w:val="2"/>
    </w:pPr>
  </w:style>
  <w:style w:type="character" w:styleId="825">
    <w:name w:val="Heading 3 Char"/>
    <w:basedOn w:val="995"/>
    <w:link w:val="824"/>
    <w:uiPriority w:val="9"/>
    <w:rPr>
      <w:rFonts w:ascii="Arial" w:hAnsi="Arial" w:cs="Arial" w:eastAsia="Arial"/>
      <w:sz w:val="30"/>
      <w:szCs w:val="30"/>
    </w:rPr>
  </w:style>
  <w:style w:type="paragraph" w:styleId="826">
    <w:name w:val="Heading 4"/>
    <w:basedOn w:val="994"/>
    <w:next w:val="994"/>
    <w:link w:val="827"/>
    <w:qFormat/>
    <w:uiPriority w:val="9"/>
    <w:unhideWhenUsed/>
    <w:rPr>
      <w:rFonts w:ascii="Arial" w:hAnsi="Arial" w:cs="Arial" w:eastAsia="Arial"/>
      <w:b/>
      <w:bCs/>
      <w:sz w:val="26"/>
      <w:szCs w:val="26"/>
    </w:rPr>
    <w:pPr>
      <w:keepLines/>
      <w:keepNext/>
      <w:spacing w:after="200" w:before="320"/>
      <w:outlineLvl w:val="3"/>
    </w:pPr>
  </w:style>
  <w:style w:type="character" w:styleId="827">
    <w:name w:val="Heading 4 Char"/>
    <w:basedOn w:val="995"/>
    <w:link w:val="826"/>
    <w:uiPriority w:val="9"/>
    <w:rPr>
      <w:rFonts w:ascii="Arial" w:hAnsi="Arial" w:cs="Arial" w:eastAsia="Arial"/>
      <w:b/>
      <w:bCs/>
      <w:sz w:val="26"/>
      <w:szCs w:val="26"/>
    </w:rPr>
  </w:style>
  <w:style w:type="paragraph" w:styleId="828">
    <w:name w:val="Heading 5"/>
    <w:basedOn w:val="994"/>
    <w:next w:val="994"/>
    <w:link w:val="829"/>
    <w:qFormat/>
    <w:uiPriority w:val="9"/>
    <w:unhideWhenUsed/>
    <w:rPr>
      <w:rFonts w:ascii="Arial" w:hAnsi="Arial" w:cs="Arial" w:eastAsia="Arial"/>
      <w:b/>
      <w:bCs/>
      <w:sz w:val="24"/>
      <w:szCs w:val="24"/>
    </w:rPr>
    <w:pPr>
      <w:keepLines/>
      <w:keepNext/>
      <w:spacing w:after="200" w:before="320"/>
      <w:outlineLvl w:val="4"/>
    </w:pPr>
  </w:style>
  <w:style w:type="character" w:styleId="829">
    <w:name w:val="Heading 5 Char"/>
    <w:basedOn w:val="995"/>
    <w:link w:val="828"/>
    <w:uiPriority w:val="9"/>
    <w:rPr>
      <w:rFonts w:ascii="Arial" w:hAnsi="Arial" w:cs="Arial" w:eastAsia="Arial"/>
      <w:b/>
      <w:bCs/>
      <w:sz w:val="24"/>
      <w:szCs w:val="24"/>
    </w:rPr>
  </w:style>
  <w:style w:type="paragraph" w:styleId="830">
    <w:name w:val="Heading 6"/>
    <w:basedOn w:val="994"/>
    <w:next w:val="994"/>
    <w:link w:val="831"/>
    <w:qFormat/>
    <w:uiPriority w:val="9"/>
    <w:unhideWhenUsed/>
    <w:rPr>
      <w:rFonts w:ascii="Arial" w:hAnsi="Arial" w:cs="Arial" w:eastAsia="Arial"/>
      <w:b/>
      <w:bCs/>
      <w:sz w:val="22"/>
      <w:szCs w:val="22"/>
    </w:rPr>
    <w:pPr>
      <w:keepLines/>
      <w:keepNext/>
      <w:spacing w:after="200" w:before="320"/>
      <w:outlineLvl w:val="5"/>
    </w:pPr>
  </w:style>
  <w:style w:type="character" w:styleId="831">
    <w:name w:val="Heading 6 Char"/>
    <w:basedOn w:val="995"/>
    <w:link w:val="830"/>
    <w:uiPriority w:val="9"/>
    <w:rPr>
      <w:rFonts w:ascii="Arial" w:hAnsi="Arial" w:cs="Arial" w:eastAsia="Arial"/>
      <w:b/>
      <w:bCs/>
      <w:sz w:val="22"/>
      <w:szCs w:val="22"/>
    </w:rPr>
  </w:style>
  <w:style w:type="paragraph" w:styleId="832">
    <w:name w:val="Heading 7"/>
    <w:basedOn w:val="994"/>
    <w:next w:val="994"/>
    <w:link w:val="833"/>
    <w:qFormat/>
    <w:uiPriority w:val="9"/>
    <w:unhideWhenUsed/>
    <w:rPr>
      <w:rFonts w:ascii="Arial" w:hAnsi="Arial" w:cs="Arial" w:eastAsia="Arial"/>
      <w:b/>
      <w:bCs/>
      <w:i/>
      <w:iCs/>
      <w:sz w:val="22"/>
      <w:szCs w:val="22"/>
    </w:rPr>
    <w:pPr>
      <w:keepLines/>
      <w:keepNext/>
      <w:spacing w:after="200" w:before="320"/>
      <w:outlineLvl w:val="6"/>
    </w:pPr>
  </w:style>
  <w:style w:type="character" w:styleId="833">
    <w:name w:val="Heading 7 Char"/>
    <w:basedOn w:val="995"/>
    <w:link w:val="832"/>
    <w:uiPriority w:val="9"/>
    <w:rPr>
      <w:rFonts w:ascii="Arial" w:hAnsi="Arial" w:cs="Arial" w:eastAsia="Arial"/>
      <w:b/>
      <w:bCs/>
      <w:i/>
      <w:iCs/>
      <w:sz w:val="22"/>
      <w:szCs w:val="22"/>
    </w:rPr>
  </w:style>
  <w:style w:type="paragraph" w:styleId="834">
    <w:name w:val="Heading 8"/>
    <w:basedOn w:val="994"/>
    <w:next w:val="994"/>
    <w:link w:val="835"/>
    <w:qFormat/>
    <w:uiPriority w:val="9"/>
    <w:unhideWhenUsed/>
    <w:rPr>
      <w:rFonts w:ascii="Arial" w:hAnsi="Arial" w:cs="Arial" w:eastAsia="Arial"/>
      <w:i/>
      <w:iCs/>
      <w:sz w:val="22"/>
      <w:szCs w:val="22"/>
    </w:rPr>
    <w:pPr>
      <w:keepLines/>
      <w:keepNext/>
      <w:spacing w:after="200" w:before="320"/>
      <w:outlineLvl w:val="7"/>
    </w:pPr>
  </w:style>
  <w:style w:type="character" w:styleId="835">
    <w:name w:val="Heading 8 Char"/>
    <w:basedOn w:val="995"/>
    <w:link w:val="834"/>
    <w:uiPriority w:val="9"/>
    <w:rPr>
      <w:rFonts w:ascii="Arial" w:hAnsi="Arial" w:cs="Arial" w:eastAsia="Arial"/>
      <w:i/>
      <w:iCs/>
      <w:sz w:val="22"/>
      <w:szCs w:val="22"/>
    </w:rPr>
  </w:style>
  <w:style w:type="paragraph" w:styleId="836">
    <w:name w:val="Heading 9"/>
    <w:basedOn w:val="994"/>
    <w:next w:val="994"/>
    <w:link w:val="837"/>
    <w:qFormat/>
    <w:uiPriority w:val="9"/>
    <w:unhideWhenUsed/>
    <w:rPr>
      <w:rFonts w:ascii="Arial" w:hAnsi="Arial" w:cs="Arial" w:eastAsia="Arial"/>
      <w:i/>
      <w:iCs/>
      <w:sz w:val="21"/>
      <w:szCs w:val="21"/>
    </w:rPr>
    <w:pPr>
      <w:keepLines/>
      <w:keepNext/>
      <w:spacing w:after="200" w:before="320"/>
      <w:outlineLvl w:val="8"/>
    </w:pPr>
  </w:style>
  <w:style w:type="character" w:styleId="837">
    <w:name w:val="Heading 9 Char"/>
    <w:basedOn w:val="995"/>
    <w:link w:val="836"/>
    <w:uiPriority w:val="9"/>
    <w:rPr>
      <w:rFonts w:ascii="Arial" w:hAnsi="Arial" w:cs="Arial" w:eastAsia="Arial"/>
      <w:i/>
      <w:iCs/>
      <w:sz w:val="21"/>
      <w:szCs w:val="21"/>
    </w:rPr>
  </w:style>
  <w:style w:type="paragraph" w:styleId="838">
    <w:name w:val="List Paragraph"/>
    <w:basedOn w:val="994"/>
    <w:qFormat/>
    <w:uiPriority w:val="34"/>
    <w:pPr>
      <w:contextualSpacing w:val="true"/>
      <w:ind w:left="720"/>
    </w:pPr>
  </w:style>
  <w:style w:type="paragraph" w:styleId="839">
    <w:name w:val="No Spacing"/>
    <w:qFormat/>
    <w:uiPriority w:val="1"/>
    <w:pPr>
      <w:spacing w:lineRule="auto" w:line="240" w:after="0" w:before="0"/>
    </w:pPr>
  </w:style>
  <w:style w:type="paragraph" w:styleId="840">
    <w:name w:val="Title"/>
    <w:basedOn w:val="994"/>
    <w:next w:val="994"/>
    <w:link w:val="841"/>
    <w:qFormat/>
    <w:uiPriority w:val="10"/>
    <w:rPr>
      <w:sz w:val="48"/>
      <w:szCs w:val="48"/>
    </w:rPr>
    <w:pPr>
      <w:contextualSpacing w:val="true"/>
      <w:spacing w:after="200" w:before="300"/>
    </w:pPr>
  </w:style>
  <w:style w:type="character" w:styleId="841">
    <w:name w:val="Title Char"/>
    <w:basedOn w:val="995"/>
    <w:link w:val="840"/>
    <w:uiPriority w:val="10"/>
    <w:rPr>
      <w:sz w:val="48"/>
      <w:szCs w:val="48"/>
    </w:rPr>
  </w:style>
  <w:style w:type="paragraph" w:styleId="842">
    <w:name w:val="Subtitle"/>
    <w:basedOn w:val="994"/>
    <w:next w:val="994"/>
    <w:link w:val="843"/>
    <w:qFormat/>
    <w:uiPriority w:val="11"/>
    <w:rPr>
      <w:sz w:val="24"/>
      <w:szCs w:val="24"/>
    </w:rPr>
    <w:pPr>
      <w:spacing w:after="200" w:before="200"/>
    </w:pPr>
  </w:style>
  <w:style w:type="character" w:styleId="843">
    <w:name w:val="Subtitle Char"/>
    <w:basedOn w:val="995"/>
    <w:link w:val="842"/>
    <w:uiPriority w:val="11"/>
    <w:rPr>
      <w:sz w:val="24"/>
      <w:szCs w:val="24"/>
    </w:rPr>
  </w:style>
  <w:style w:type="paragraph" w:styleId="844">
    <w:name w:val="Quote"/>
    <w:basedOn w:val="994"/>
    <w:next w:val="994"/>
    <w:link w:val="845"/>
    <w:qFormat/>
    <w:uiPriority w:val="29"/>
    <w:rPr>
      <w:i/>
    </w:rPr>
    <w:pPr>
      <w:ind w:left="720" w:right="720"/>
    </w:pPr>
  </w:style>
  <w:style w:type="character" w:styleId="845">
    <w:name w:val="Quote Char"/>
    <w:link w:val="844"/>
    <w:uiPriority w:val="29"/>
    <w:rPr>
      <w:i/>
    </w:rPr>
  </w:style>
  <w:style w:type="paragraph" w:styleId="846">
    <w:name w:val="Intense Quote"/>
    <w:basedOn w:val="994"/>
    <w:next w:val="994"/>
    <w:link w:val="847"/>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847">
    <w:name w:val="Intense Quote Char"/>
    <w:link w:val="846"/>
    <w:uiPriority w:val="30"/>
    <w:rPr>
      <w:i/>
    </w:rPr>
  </w:style>
  <w:style w:type="character" w:styleId="848">
    <w:name w:val="Header Char"/>
    <w:basedOn w:val="995"/>
    <w:link w:val="998"/>
    <w:uiPriority w:val="99"/>
  </w:style>
  <w:style w:type="character" w:styleId="849">
    <w:name w:val="Footer Char"/>
    <w:basedOn w:val="995"/>
    <w:link w:val="997"/>
    <w:uiPriority w:val="99"/>
  </w:style>
  <w:style w:type="paragraph" w:styleId="850">
    <w:name w:val="Caption"/>
    <w:basedOn w:val="994"/>
    <w:next w:val="994"/>
    <w:qFormat/>
    <w:uiPriority w:val="35"/>
    <w:semiHidden/>
    <w:unhideWhenUsed/>
    <w:rPr>
      <w:b/>
      <w:bCs/>
      <w:color w:val="4F81BD" w:themeColor="accent1"/>
      <w:sz w:val="18"/>
      <w:szCs w:val="18"/>
    </w:rPr>
    <w:pPr>
      <w:spacing w:lineRule="auto" w:line="276"/>
    </w:pPr>
  </w:style>
  <w:style w:type="character" w:styleId="851">
    <w:name w:val="Caption Char"/>
    <w:basedOn w:val="850"/>
    <w:link w:val="997"/>
    <w:uiPriority w:val="99"/>
  </w:style>
  <w:style w:type="table" w:styleId="852">
    <w:name w:val="Table Grid Light"/>
    <w:basedOn w:val="996"/>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853">
    <w:name w:val="Plain Table 1"/>
    <w:basedOn w:val="996"/>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FFFFFF" w:fill="FFFFFF"/>
      </w:tcPr>
    </w:tblStylePr>
    <w:tblStylePr w:type="band1Vert">
      <w:tcPr>
        <w:shd w:val="clear" w:color="FFFFFF" w:fill="FFFFFF"/>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54">
    <w:name w:val="Plain Table 2"/>
    <w:basedOn w:val="996"/>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55">
    <w:name w:val="Plain Table 3"/>
    <w:basedOn w:val="99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856">
    <w:name w:val="Plain Table 4"/>
    <w:basedOn w:val="99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57">
    <w:name w:val="Plain Table 5"/>
    <w:basedOn w:val="99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858">
    <w:name w:val="Grid Table 1 Light"/>
    <w:basedOn w:val="996"/>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859">
    <w:name w:val="Grid Table 1 Light - Accent 1"/>
    <w:basedOn w:val="996"/>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860">
    <w:name w:val="Grid Table 1 Light - Accent 2"/>
    <w:basedOn w:val="996"/>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861">
    <w:name w:val="Grid Table 1 Light - Accent 3"/>
    <w:basedOn w:val="996"/>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862">
    <w:name w:val="Grid Table 1 Light - Accent 4"/>
    <w:basedOn w:val="996"/>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863">
    <w:name w:val="Grid Table 1 Light - Accent 5"/>
    <w:basedOn w:val="996"/>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864">
    <w:name w:val="Grid Table 1 Light - Accent 6"/>
    <w:basedOn w:val="996"/>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865">
    <w:name w:val="Grid Table 2"/>
    <w:basedOn w:val="996"/>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866">
    <w:name w:val="Grid Table 2 - Accent 1"/>
    <w:basedOn w:val="996"/>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867">
    <w:name w:val="Grid Table 2 - Accent 2"/>
    <w:basedOn w:val="996"/>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868">
    <w:name w:val="Grid Table 2 - Accent 3"/>
    <w:basedOn w:val="996"/>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869">
    <w:name w:val="Grid Table 2 - Accent 4"/>
    <w:basedOn w:val="996"/>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870">
    <w:name w:val="Grid Table 2 - Accent 5"/>
    <w:basedOn w:val="996"/>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5"/>
          <w:right w:val="none" w:color="000000" w:sz="4" w:space="0"/>
          <w:bottom w:val="none" w:color="000000" w:sz="4" w:space="0"/>
        </w:tcBorders>
      </w:tcPr>
    </w:tblStylePr>
  </w:style>
  <w:style w:type="table" w:styleId="871">
    <w:name w:val="Grid Table 2 - Accent 6"/>
    <w:basedOn w:val="996"/>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6"/>
          <w:right w:val="none" w:color="000000" w:sz="4" w:space="0"/>
          <w:bottom w:val="none" w:color="000000" w:sz="4" w:space="0"/>
        </w:tcBorders>
      </w:tcPr>
    </w:tblStylePr>
  </w:style>
  <w:style w:type="table" w:styleId="872">
    <w:name w:val="Grid Table 3"/>
    <w:basedOn w:val="996"/>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73">
    <w:name w:val="Grid Table 3 - Accent 1"/>
    <w:basedOn w:val="996"/>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74">
    <w:name w:val="Grid Table 3 - Accent 2"/>
    <w:basedOn w:val="996"/>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75">
    <w:name w:val="Grid Table 3 - Accent 3"/>
    <w:basedOn w:val="996"/>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76">
    <w:name w:val="Grid Table 3 - Accent 4"/>
    <w:basedOn w:val="996"/>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77">
    <w:name w:val="Grid Table 3 - Accent 5"/>
    <w:basedOn w:val="996"/>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78">
    <w:name w:val="Grid Table 3 - Accent 6"/>
    <w:basedOn w:val="996"/>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79">
    <w:name w:val="Grid Table 4"/>
    <w:basedOn w:val="996"/>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80">
    <w:name w:val="Grid Table 4 - Accent 1"/>
    <w:basedOn w:val="996"/>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881">
    <w:name w:val="Grid Table 4 - Accent 2"/>
    <w:basedOn w:val="996"/>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882">
    <w:name w:val="Grid Table 4 - Accent 3"/>
    <w:basedOn w:val="996"/>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883">
    <w:name w:val="Grid Table 4 - Accent 4"/>
    <w:basedOn w:val="996"/>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884">
    <w:name w:val="Grid Table 4 - Accent 5"/>
    <w:basedOn w:val="996"/>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85">
    <w:name w:val="Grid Table 4 - Accent 6"/>
    <w:basedOn w:val="996"/>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86">
    <w:name w:val="Grid Table 5 Dark"/>
    <w:basedOn w:val="9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87">
    <w:name w:val="Grid Table 5 Dark- Accent 1"/>
    <w:basedOn w:val="9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88">
    <w:name w:val="Grid Table 5 Dark - Accent 2"/>
    <w:basedOn w:val="9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89">
    <w:name w:val="Grid Table 5 Dark - Accent 3"/>
    <w:basedOn w:val="9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90">
    <w:name w:val="Grid Table 5 Dark- Accent 4"/>
    <w:basedOn w:val="9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91">
    <w:name w:val="Grid Table 5 Dark - Accent 5"/>
    <w:basedOn w:val="9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92">
    <w:name w:val="Grid Table 5 Dark - Accent 6"/>
    <w:basedOn w:val="99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93">
    <w:name w:val="Grid Table 6 Colorful"/>
    <w:basedOn w:val="996"/>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4">
    <w:name w:val="Grid Table 6 Colorful - Accent 1"/>
    <w:basedOn w:val="996"/>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sz="12" w:space="0" w:themeColor="accent1" w:themeTint="8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Arial" w:hAnsi="Arial"/>
        <w:color w:val="404040" w:themeColor="accent1" w:themeTint="80" w:themeShade="95"/>
        <w:sz w:val="22"/>
      </w:rPr>
    </w:tblStylePr>
  </w:style>
  <w:style w:type="table" w:styleId="895">
    <w:name w:val="Grid Table 6 Colorful - Accent 2"/>
    <w:basedOn w:val="996"/>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12"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896">
    <w:name w:val="Grid Table 6 Colorful - Accent 3"/>
    <w:basedOn w:val="996"/>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sz="12" w:space="0" w:themeColor="accent3" w:themeTint="FE"/>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897">
    <w:name w:val="Grid Table 6 Colorful - Accent 4"/>
    <w:basedOn w:val="996"/>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12"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898">
    <w:name w:val="Grid Table 6 Colorful - Accent 5"/>
    <w:basedOn w:val="996"/>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5"/>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899">
    <w:name w:val="Grid Table 6 Colorful - Accent 6"/>
    <w:basedOn w:val="996"/>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6"/>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00">
    <w:name w:val="Grid Table 7 Colorful"/>
    <w:basedOn w:val="996"/>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style>
  <w:style w:type="table" w:styleId="901">
    <w:name w:val="Grid Table 7 Colorful - Accent 1"/>
    <w:basedOn w:val="996"/>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664A9"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3664A9" w:themeColor="accent1" w:themeTint="80" w:themeShade="95"/>
        <w:sz w:val="22"/>
      </w:rPr>
    </w:tblStylePr>
    <w:tblStylePr w:type="firstCol">
      <w:rPr>
        <w:rFonts w:ascii="Arial" w:hAnsi="Arial"/>
        <w:i/>
        <w:color w:val="3664A9" w:themeColor="accent1" w:themeTint="80" w:themeShade="95"/>
        <w:sz w:val="22"/>
      </w:rPr>
      <w:pPr>
        <w:jc w:val="right"/>
      </w:pPr>
      <w:tcPr>
        <w:shd w:val="clear" w:color="FFFFFF" w:fill="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664A9" w:themeColor="accen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664A9" w:themeColor="accent1" w:themeTint="80" w:themeShade="95"/>
        <w:sz w:val="22"/>
      </w:rPr>
      <w:tcPr>
        <w:shd w:val="clear" w:color="FFFFFF" w:fill="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664A9" w:themeColor="accent1" w:themeTint="80" w:themeShade="95"/>
        <w:sz w:val="22"/>
      </w:rPr>
      <w:tcPr>
        <w:shd w:val="clear" w:color="FFFFFF" w:fill="FFFFFF"/>
        <w:tcBorders>
          <w:left w:val="none" w:color="000000" w:sz="4" w:space="0"/>
          <w:top w:val="single" w:color="000000" w:sz="4" w:space="0" w:themeColor="accent1" w:themeTint="80"/>
          <w:right w:val="none" w:color="000000" w:sz="4" w:space="0"/>
          <w:bottom w:val="none" w:color="000000" w:sz="4" w:space="0"/>
        </w:tcBorders>
      </w:tcPr>
    </w:tblStylePr>
  </w:style>
  <w:style w:type="table" w:styleId="902">
    <w:name w:val="Grid Table 7 Colorful - Accent 2"/>
    <w:basedOn w:val="996"/>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C95712"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C95712"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C95712" w:themeColor="accent2" w:themeTint="97" w:themeShade="95"/>
        <w:sz w:val="22"/>
      </w:rPr>
      <w:tcPr>
        <w:shd w:val="clear"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C95712"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903">
    <w:name w:val="Grid Table 7 Colorful - Accent 3"/>
    <w:basedOn w:val="996"/>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606060"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val="clear" w:color="FFFFFF" w:fill="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606060" w:themeColor="accent3" w:themeTint="FE"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606060" w:themeColor="accent3" w:themeTint="FE" w:themeShade="95"/>
        <w:sz w:val="22"/>
      </w:rPr>
      <w:tcPr>
        <w:shd w:val="clear" w:color="FFFFFF" w:fill="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606060" w:themeColor="accent3" w:themeTint="FE" w:themeShade="95"/>
        <w:sz w:val="22"/>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904">
    <w:name w:val="Grid Table 7 Colorful - Accent 4"/>
    <w:basedOn w:val="996"/>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CD960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CD9600"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CD9600" w:themeColor="accent4" w:themeTint="9A" w:themeShade="95"/>
        <w:sz w:val="22"/>
      </w:rPr>
      <w:tcPr>
        <w:shd w:val="clear"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CD9600"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905">
    <w:name w:val="Grid Table 7 Colorful - Accent 5"/>
    <w:basedOn w:val="996"/>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45D8D"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245D8D" w:themeColor="accent5" w:themeShade="95"/>
        <w:sz w:val="22"/>
      </w:rPr>
    </w:tblStylePr>
    <w:tblStylePr w:type="firstCol">
      <w:rPr>
        <w:rFonts w:ascii="Arial" w:hAnsi="Arial"/>
        <w:i/>
        <w:color w:val="245D8D" w:themeColor="accent5" w:themeShade="95"/>
        <w:sz w:val="22"/>
      </w:rPr>
      <w:pPr>
        <w:jc w:val="right"/>
      </w:pPr>
      <w:tcPr>
        <w:shd w:val="clear" w:color="FFFFFF" w:fill="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45D8D" w:themeColor="accent5"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45D8D" w:themeColor="accent5" w:themeShade="95"/>
        <w:sz w:val="22"/>
      </w:rPr>
      <w:tcPr>
        <w:shd w:val="clear" w:color="FFFFFF" w:fill="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45D8D" w:themeColor="accent5" w:themeShade="95"/>
        <w:sz w:val="22"/>
      </w:rPr>
      <w:tcPr>
        <w:shd w:val="clear" w:color="FFFFFF" w:fill="FFFFFF"/>
        <w:tcBorders>
          <w:left w:val="none" w:color="000000" w:sz="4" w:space="0"/>
          <w:top w:val="single" w:color="000000" w:sz="4" w:space="0" w:themeColor="accent5" w:themeTint="90"/>
          <w:right w:val="none" w:color="000000" w:sz="4" w:space="0"/>
          <w:bottom w:val="none" w:color="000000" w:sz="4" w:space="0"/>
        </w:tcBorders>
      </w:tcPr>
    </w:tblStylePr>
  </w:style>
  <w:style w:type="table" w:styleId="906">
    <w:name w:val="Grid Table 7 Colorful - Accent 6"/>
    <w:basedOn w:val="996"/>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26429" w:themeColor="accent6" w:themeShade="95"/>
        <w:sz w:val="22"/>
      </w:rPr>
      <w:tcPr>
        <w:shd w:val="clear" w:color="FFFFFF" w:fill="FFFFFF"/>
      </w:tcPr>
    </w:tblStylePr>
    <w:tblStylePr w:type="band1Vert">
      <w:tcPr>
        <w:shd w:val="clear" w:color="FFFFFF" w:fill="FFFFFF"/>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val="clear" w:color="FFFFFF" w:fill="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426429" w:themeColor="accent6"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426429" w:themeColor="accent6" w:themeShade="95"/>
        <w:sz w:val="22"/>
      </w:rPr>
      <w:tcPr>
        <w:shd w:val="clear" w:color="FFFFFF" w:fill="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426429" w:themeColor="accent6" w:themeShade="95"/>
        <w:sz w:val="22"/>
      </w:rPr>
      <w:tcPr>
        <w:shd w:val="clear" w:color="FFFFFF" w:fill="FFFFFF"/>
        <w:tcBorders>
          <w:left w:val="none" w:color="000000" w:sz="4" w:space="0"/>
          <w:top w:val="single" w:color="000000" w:sz="4" w:space="0" w:themeColor="accent6" w:themeTint="90"/>
          <w:right w:val="none" w:color="000000" w:sz="4" w:space="0"/>
          <w:bottom w:val="none" w:color="000000" w:sz="4" w:space="0"/>
        </w:tcBorders>
      </w:tcPr>
    </w:tblStylePr>
  </w:style>
  <w:style w:type="table" w:styleId="907">
    <w:name w:val="List Table 1 Light"/>
    <w:basedOn w:val="996"/>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908">
    <w:name w:val="List Table 1 Light - Accent 1"/>
    <w:basedOn w:val="996"/>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909">
    <w:name w:val="List Table 1 Light - Accent 2"/>
    <w:basedOn w:val="996"/>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910">
    <w:name w:val="List Table 1 Light - Accent 3"/>
    <w:basedOn w:val="996"/>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911">
    <w:name w:val="List Table 1 Light - Accent 4"/>
    <w:basedOn w:val="996"/>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912">
    <w:name w:val="List Table 1 Light - Accent 5"/>
    <w:basedOn w:val="996"/>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913">
    <w:name w:val="List Table 1 Light - Accent 6"/>
    <w:basedOn w:val="996"/>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914">
    <w:name w:val="List Table 2"/>
    <w:basedOn w:val="996"/>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915">
    <w:name w:val="List Table 2 - Accent 1"/>
    <w:basedOn w:val="996"/>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916">
    <w:name w:val="List Table 2 - Accent 2"/>
    <w:basedOn w:val="996"/>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917">
    <w:name w:val="List Table 2 - Accent 3"/>
    <w:basedOn w:val="996"/>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918">
    <w:name w:val="List Table 2 - Accent 4"/>
    <w:basedOn w:val="996"/>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919">
    <w:name w:val="List Table 2 - Accent 5"/>
    <w:basedOn w:val="996"/>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920">
    <w:name w:val="List Table 2 - Accent 6"/>
    <w:basedOn w:val="996"/>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921">
    <w:name w:val="List Table 3"/>
    <w:basedOn w:val="996"/>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2">
    <w:name w:val="List Table 3 - Accent 1"/>
    <w:basedOn w:val="996"/>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3">
    <w:name w:val="List Table 3 - Accent 2"/>
    <w:basedOn w:val="996"/>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4">
    <w:name w:val="List Table 3 - Accent 3"/>
    <w:basedOn w:val="996"/>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5">
    <w:name w:val="List Table 3 - Accent 4"/>
    <w:basedOn w:val="996"/>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6">
    <w:name w:val="List Table 3 - Accent 5"/>
    <w:basedOn w:val="996"/>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7">
    <w:name w:val="List Table 3 - Accent 6"/>
    <w:basedOn w:val="996"/>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8">
    <w:name w:val="List Table 4"/>
    <w:basedOn w:val="996"/>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9">
    <w:name w:val="List Table 4 - Accent 1"/>
    <w:basedOn w:val="996"/>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30">
    <w:name w:val="List Table 4 - Accent 2"/>
    <w:basedOn w:val="996"/>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31">
    <w:name w:val="List Table 4 - Accent 3"/>
    <w:basedOn w:val="996"/>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32">
    <w:name w:val="List Table 4 - Accent 4"/>
    <w:basedOn w:val="996"/>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33">
    <w:name w:val="List Table 4 - Accent 5"/>
    <w:basedOn w:val="996"/>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34">
    <w:name w:val="List Table 4 - Accent 6"/>
    <w:basedOn w:val="996"/>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35">
    <w:name w:val="List Table 5 Dark"/>
    <w:basedOn w:val="996"/>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36">
    <w:name w:val="List Table 5 Dark - Accent 1"/>
    <w:basedOn w:val="996"/>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37">
    <w:name w:val="List Table 5 Dark - Accent 2"/>
    <w:basedOn w:val="996"/>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38">
    <w:name w:val="List Table 5 Dark - Accent 3"/>
    <w:basedOn w:val="996"/>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39">
    <w:name w:val="List Table 5 Dark - Accent 4"/>
    <w:basedOn w:val="996"/>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40">
    <w:name w:val="List Table 5 Dark - Accent 5"/>
    <w:basedOn w:val="996"/>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41">
    <w:name w:val="List Table 5 Dark - Accent 6"/>
    <w:basedOn w:val="996"/>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42">
    <w:name w:val="List Table 6 Colorful"/>
    <w:basedOn w:val="996"/>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FFFFFF" w:fill="FFFFFF"/>
      </w:tcPr>
    </w:tblStylePr>
    <w:tblStylePr w:type="band1Vert">
      <w:tcPr>
        <w:shd w:val="clear" w:color="FFFFFF" w:fill="FFFFFF"/>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943">
    <w:name w:val="List Table 6 Colorful - Accent 1"/>
    <w:basedOn w:val="996"/>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sz="4" w:space="0" w:themeColor="accent1"/>
        </w:tcBorders>
      </w:tcPr>
    </w:tblStylePr>
    <w:tblStylePr w:type="lastCol">
      <w:rPr>
        <w:b/>
        <w:color w:val="254374" w:themeColor="accent1" w:themeShade="95"/>
      </w:rPr>
    </w:tblStylePr>
    <w:tblStylePr w:type="lastRow">
      <w:rPr>
        <w:b/>
        <w:color w:val="254374" w:themeColor="accent1" w:themeShade="95"/>
      </w:rPr>
      <w:tcPr>
        <w:tcBorders>
          <w:top w:val="single" w:color="000000" w:sz="4" w:space="0" w:themeColor="accent1"/>
        </w:tcBorders>
      </w:tcPr>
    </w:tblStylePr>
  </w:style>
  <w:style w:type="table" w:styleId="944">
    <w:name w:val="List Table 6 Colorful - Accent 2"/>
    <w:basedOn w:val="996"/>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4"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sz="4" w:space="0" w:themeColor="accent2" w:themeTint="97"/>
        </w:tcBorders>
      </w:tcPr>
    </w:tblStylePr>
  </w:style>
  <w:style w:type="table" w:styleId="945">
    <w:name w:val="List Table 6 Colorful - Accent 3"/>
    <w:basedOn w:val="996"/>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sz="4" w:space="0" w:themeColor="accent3" w:themeTint="98"/>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sz="4" w:space="0" w:themeColor="accent3" w:themeTint="98"/>
        </w:tcBorders>
      </w:tcPr>
    </w:tblStylePr>
  </w:style>
  <w:style w:type="table" w:styleId="946">
    <w:name w:val="List Table 6 Colorful - Accent 4"/>
    <w:basedOn w:val="996"/>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4"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sz="4" w:space="0" w:themeColor="accent4" w:themeTint="9A"/>
        </w:tcBorders>
      </w:tcPr>
    </w:tblStylePr>
  </w:style>
  <w:style w:type="table" w:styleId="947">
    <w:name w:val="List Table 6 Colorful - Accent 5"/>
    <w:basedOn w:val="996"/>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sz="4" w:space="0" w:themeColor="accent5" w:themeTint="9A"/>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sz="4" w:space="0" w:themeColor="accent5" w:themeTint="9A"/>
        </w:tcBorders>
      </w:tcPr>
    </w:tblStylePr>
  </w:style>
  <w:style w:type="table" w:styleId="948">
    <w:name w:val="List Table 6 Colorful - Accent 6"/>
    <w:basedOn w:val="996"/>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sz="4" w:space="0" w:themeColor="accent6" w:themeTint="98"/>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sz="4" w:space="0" w:themeColor="accent6" w:themeTint="98"/>
        </w:tcBorders>
      </w:tcPr>
    </w:tblStylePr>
  </w:style>
  <w:style w:type="table" w:styleId="949">
    <w:name w:val="List Table 7 Colorful"/>
    <w:basedOn w:val="996"/>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950">
    <w:name w:val="List Table 7 Colorful - Accent 1"/>
    <w:basedOn w:val="996"/>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54374"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254374" w:themeColor="accent1" w:themeShade="95"/>
        <w:sz w:val="22"/>
      </w:rPr>
    </w:tblStylePr>
    <w:tblStylePr w:type="firstCol">
      <w:rPr>
        <w:rFonts w:ascii="Arial" w:hAnsi="Arial"/>
        <w:i/>
        <w:color w:val="254374" w:themeColor="accent1" w:themeShade="95"/>
        <w:sz w:val="22"/>
      </w:rPr>
      <w:pPr>
        <w:jc w:val="right"/>
      </w:pPr>
      <w:tcPr>
        <w:shd w:val="clear" w:color="FFFFFF" w:fill="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54374" w:themeColor="accent1" w:themeShade="95"/>
        <w:sz w:val="22"/>
      </w:rPr>
      <w:tcPr>
        <w:shd w:val="clear" w:color="FFFFFF" w:fill="FFFFFF"/>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54374" w:themeColor="accent1" w:themeShade="95"/>
        <w:sz w:val="22"/>
      </w:rPr>
      <w:tcPr>
        <w:shd w:val="clear" w:color="FFFFFF" w:fill="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54374" w:themeColor="accent1" w:themeShade="95"/>
        <w:sz w:val="22"/>
      </w:rPr>
      <w:tcPr>
        <w:shd w:val="clear" w:color="FFFFFF" w:fill="FFFFFF"/>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54374" w:themeColor="accent1" w:themeShade="95"/>
        <w:sz w:val="22"/>
      </w:rPr>
    </w:tblStylePr>
  </w:style>
  <w:style w:type="table" w:styleId="951">
    <w:name w:val="List Table 7 Colorful - Accent 2"/>
    <w:basedOn w:val="996"/>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C95712"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C95712"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C95712" w:themeColor="accent2" w:themeTint="97" w:themeShade="95"/>
        <w:sz w:val="22"/>
      </w:rPr>
      <w:tcPr>
        <w:shd w:val="clear"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C95712"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C95712" w:themeColor="accent2" w:themeTint="97" w:themeShade="95"/>
        <w:sz w:val="22"/>
      </w:rPr>
    </w:tblStylePr>
  </w:style>
  <w:style w:type="table" w:styleId="952">
    <w:name w:val="List Table 7 Colorful - Accent 3"/>
    <w:basedOn w:val="996"/>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57575"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val="clear" w:color="FFFFFF" w:fill="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57575" w:themeColor="accent3"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57575" w:themeColor="accent3" w:themeTint="98" w:themeShade="95"/>
        <w:sz w:val="22"/>
      </w:rPr>
      <w:tcPr>
        <w:shd w:val="clear" w:color="FFFFFF" w:fill="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57575" w:themeColor="accent3" w:themeTint="98" w:themeShade="95"/>
        <w:sz w:val="22"/>
      </w:rPr>
      <w:tcPr>
        <w:shd w:val="clear" w:color="FFFFFF" w:fill="FFFFFF"/>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57575" w:themeColor="accent3" w:themeTint="98" w:themeShade="95"/>
        <w:sz w:val="22"/>
      </w:rPr>
    </w:tblStylePr>
  </w:style>
  <w:style w:type="table" w:styleId="953">
    <w:name w:val="List Table 7 Colorful - Accent 4"/>
    <w:basedOn w:val="996"/>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CD960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CD9600"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CD9600" w:themeColor="accent4" w:themeTint="9A" w:themeShade="95"/>
        <w:sz w:val="22"/>
      </w:rPr>
      <w:tcPr>
        <w:shd w:val="clear"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CD9600"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CD9600" w:themeColor="accent4" w:themeTint="9A" w:themeShade="95"/>
        <w:sz w:val="22"/>
      </w:rPr>
    </w:tblStylePr>
  </w:style>
  <w:style w:type="table" w:styleId="954">
    <w:name w:val="List Table 7 Colorful - Accent 5"/>
    <w:basedOn w:val="996"/>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2E78B1"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2E78B1" w:themeColor="accent5" w:themeTint="9A" w:themeShade="95"/>
        <w:sz w:val="22"/>
      </w:rPr>
    </w:tblStylePr>
    <w:tblStylePr w:type="firstCol">
      <w:rPr>
        <w:rFonts w:ascii="Arial" w:hAnsi="Arial"/>
        <w:i/>
        <w:color w:val="2E78B1" w:themeColor="accent5" w:themeTint="9A" w:themeShade="95"/>
        <w:sz w:val="22"/>
      </w:rPr>
      <w:pPr>
        <w:jc w:val="right"/>
      </w:pPr>
      <w:tcPr>
        <w:shd w:val="clear" w:color="FFFFFF" w:fill="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2E78B1" w:themeColor="accent5"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2E78B1" w:themeColor="accent5" w:themeTint="9A" w:themeShade="95"/>
        <w:sz w:val="22"/>
      </w:rPr>
      <w:tcPr>
        <w:shd w:val="clear" w:color="FFFFFF" w:fill="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2E78B1" w:themeColor="accent5" w:themeTint="9A" w:themeShade="95"/>
        <w:sz w:val="22"/>
      </w:rPr>
      <w:tcPr>
        <w:shd w:val="clear" w:color="FFFFFF" w:fill="FFFFFF"/>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2E78B1" w:themeColor="accent5" w:themeTint="9A" w:themeShade="95"/>
        <w:sz w:val="22"/>
      </w:rPr>
    </w:tblStylePr>
  </w:style>
  <w:style w:type="table" w:styleId="955">
    <w:name w:val="List Table 7 Colorful - Accent 6"/>
    <w:basedOn w:val="996"/>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5F8F3C"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val="clear" w:color="FFFFFF" w:fill="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5F8F3C" w:themeColor="accent6"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5F8F3C" w:themeColor="accent6" w:themeTint="98" w:themeShade="95"/>
        <w:sz w:val="22"/>
      </w:rPr>
      <w:tcPr>
        <w:shd w:val="clear" w:color="FFFFFF" w:fill="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5F8F3C" w:themeColor="accent6" w:themeTint="98" w:themeShade="95"/>
        <w:sz w:val="22"/>
      </w:rPr>
      <w:tcPr>
        <w:shd w:val="clear" w:color="FFFFFF" w:fill="FFFFFF"/>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5F8F3C" w:themeColor="accent6" w:themeTint="98" w:themeShade="95"/>
        <w:sz w:val="22"/>
      </w:rPr>
    </w:tblStylePr>
  </w:style>
  <w:style w:type="table" w:styleId="956">
    <w:name w:val="Lined - Accent"/>
    <w:basedOn w:val="9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7">
    <w:name w:val="Lined - Accent 1"/>
    <w:basedOn w:val="9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8">
    <w:name w:val="Lined - Accent 2"/>
    <w:basedOn w:val="9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9">
    <w:name w:val="Lined - Accent 3"/>
    <w:basedOn w:val="9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0">
    <w:name w:val="Lined - Accent 4"/>
    <w:basedOn w:val="9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1">
    <w:name w:val="Lined - Accent 5"/>
    <w:basedOn w:val="9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2">
    <w:name w:val="Lined - Accent 6"/>
    <w:basedOn w:val="99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3">
    <w:name w:val="Bordered &amp; Lined - Accent"/>
    <w:basedOn w:val="996"/>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4">
    <w:name w:val="Bordered &amp; Lined - Accent 1"/>
    <w:basedOn w:val="996"/>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5">
    <w:name w:val="Bordered &amp; Lined - Accent 2"/>
    <w:basedOn w:val="996"/>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6">
    <w:name w:val="Bordered &amp; Lined - Accent 3"/>
    <w:basedOn w:val="996"/>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7">
    <w:name w:val="Bordered &amp; Lined - Accent 4"/>
    <w:basedOn w:val="996"/>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8">
    <w:name w:val="Bordered &amp; Lined - Accent 5"/>
    <w:basedOn w:val="996"/>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9">
    <w:name w:val="Bordered &amp; Lined - Accent 6"/>
    <w:basedOn w:val="996"/>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70">
    <w:name w:val="Bordered"/>
    <w:basedOn w:val="996"/>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971">
    <w:name w:val="Bordered - Accent 1"/>
    <w:basedOn w:val="996"/>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972">
    <w:name w:val="Bordered - Accent 2"/>
    <w:basedOn w:val="996"/>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973">
    <w:name w:val="Bordered - Accent 3"/>
    <w:basedOn w:val="996"/>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974">
    <w:name w:val="Bordered - Accent 4"/>
    <w:basedOn w:val="996"/>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975">
    <w:name w:val="Bordered - Accent 5"/>
    <w:basedOn w:val="996"/>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976">
    <w:name w:val="Bordered - Accent 6"/>
    <w:basedOn w:val="996"/>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977">
    <w:name w:val="Hyperlink"/>
    <w:uiPriority w:val="99"/>
    <w:unhideWhenUsed/>
    <w:rPr>
      <w:color w:val="0000FF" w:themeColor="hyperlink"/>
      <w:u w:val="single"/>
    </w:rPr>
  </w:style>
  <w:style w:type="paragraph" w:styleId="978">
    <w:name w:val="footnote text"/>
    <w:basedOn w:val="994"/>
    <w:link w:val="979"/>
    <w:uiPriority w:val="99"/>
    <w:semiHidden/>
    <w:unhideWhenUsed/>
    <w:rPr>
      <w:sz w:val="18"/>
    </w:rPr>
    <w:pPr>
      <w:spacing w:lineRule="auto" w:line="240" w:after="40"/>
    </w:pPr>
  </w:style>
  <w:style w:type="character" w:styleId="979">
    <w:name w:val="Footnote Text Char"/>
    <w:link w:val="978"/>
    <w:uiPriority w:val="99"/>
    <w:rPr>
      <w:sz w:val="18"/>
    </w:rPr>
  </w:style>
  <w:style w:type="character" w:styleId="980">
    <w:name w:val="footnote reference"/>
    <w:basedOn w:val="995"/>
    <w:uiPriority w:val="99"/>
    <w:unhideWhenUsed/>
    <w:rPr>
      <w:vertAlign w:val="superscript"/>
    </w:rPr>
  </w:style>
  <w:style w:type="paragraph" w:styleId="981">
    <w:name w:val="endnote text"/>
    <w:basedOn w:val="994"/>
    <w:link w:val="982"/>
    <w:uiPriority w:val="99"/>
    <w:semiHidden/>
    <w:unhideWhenUsed/>
    <w:rPr>
      <w:sz w:val="20"/>
    </w:rPr>
    <w:pPr>
      <w:spacing w:lineRule="auto" w:line="240" w:after="0"/>
    </w:pPr>
  </w:style>
  <w:style w:type="character" w:styleId="982">
    <w:name w:val="Endnote Text Char"/>
    <w:link w:val="981"/>
    <w:uiPriority w:val="99"/>
    <w:rPr>
      <w:sz w:val="20"/>
    </w:rPr>
  </w:style>
  <w:style w:type="character" w:styleId="983">
    <w:name w:val="endnote reference"/>
    <w:basedOn w:val="995"/>
    <w:uiPriority w:val="99"/>
    <w:semiHidden/>
    <w:unhideWhenUsed/>
    <w:rPr>
      <w:vertAlign w:val="superscript"/>
    </w:rPr>
  </w:style>
  <w:style w:type="paragraph" w:styleId="984">
    <w:name w:val="toc 1"/>
    <w:basedOn w:val="994"/>
    <w:next w:val="994"/>
    <w:uiPriority w:val="39"/>
    <w:unhideWhenUsed/>
    <w:pPr>
      <w:ind w:left="0" w:right="0" w:firstLine="0"/>
      <w:spacing w:after="57"/>
    </w:pPr>
  </w:style>
  <w:style w:type="paragraph" w:styleId="985">
    <w:name w:val="toc 2"/>
    <w:basedOn w:val="994"/>
    <w:next w:val="994"/>
    <w:uiPriority w:val="39"/>
    <w:unhideWhenUsed/>
    <w:pPr>
      <w:ind w:left="283" w:right="0" w:firstLine="0"/>
      <w:spacing w:after="57"/>
    </w:pPr>
  </w:style>
  <w:style w:type="paragraph" w:styleId="986">
    <w:name w:val="toc 3"/>
    <w:basedOn w:val="994"/>
    <w:next w:val="994"/>
    <w:uiPriority w:val="39"/>
    <w:unhideWhenUsed/>
    <w:pPr>
      <w:ind w:left="567" w:right="0" w:firstLine="0"/>
      <w:spacing w:after="57"/>
    </w:pPr>
  </w:style>
  <w:style w:type="paragraph" w:styleId="987">
    <w:name w:val="toc 4"/>
    <w:basedOn w:val="994"/>
    <w:next w:val="994"/>
    <w:uiPriority w:val="39"/>
    <w:unhideWhenUsed/>
    <w:pPr>
      <w:ind w:left="850" w:right="0" w:firstLine="0"/>
      <w:spacing w:after="57"/>
    </w:pPr>
  </w:style>
  <w:style w:type="paragraph" w:styleId="988">
    <w:name w:val="toc 5"/>
    <w:basedOn w:val="994"/>
    <w:next w:val="994"/>
    <w:uiPriority w:val="39"/>
    <w:unhideWhenUsed/>
    <w:pPr>
      <w:ind w:left="1134" w:right="0" w:firstLine="0"/>
      <w:spacing w:after="57"/>
    </w:pPr>
  </w:style>
  <w:style w:type="paragraph" w:styleId="989">
    <w:name w:val="toc 6"/>
    <w:basedOn w:val="994"/>
    <w:next w:val="994"/>
    <w:uiPriority w:val="39"/>
    <w:unhideWhenUsed/>
    <w:pPr>
      <w:ind w:left="1417" w:right="0" w:firstLine="0"/>
      <w:spacing w:after="57"/>
    </w:pPr>
  </w:style>
  <w:style w:type="paragraph" w:styleId="990">
    <w:name w:val="toc 7"/>
    <w:basedOn w:val="994"/>
    <w:next w:val="994"/>
    <w:uiPriority w:val="39"/>
    <w:unhideWhenUsed/>
    <w:pPr>
      <w:ind w:left="1701" w:right="0" w:firstLine="0"/>
      <w:spacing w:after="57"/>
    </w:pPr>
  </w:style>
  <w:style w:type="paragraph" w:styleId="991">
    <w:name w:val="toc 8"/>
    <w:basedOn w:val="994"/>
    <w:next w:val="994"/>
    <w:uiPriority w:val="39"/>
    <w:unhideWhenUsed/>
    <w:pPr>
      <w:ind w:left="1984" w:right="0" w:firstLine="0"/>
      <w:spacing w:after="57"/>
    </w:pPr>
  </w:style>
  <w:style w:type="paragraph" w:styleId="992">
    <w:name w:val="toc 9"/>
    <w:basedOn w:val="994"/>
    <w:next w:val="994"/>
    <w:uiPriority w:val="39"/>
    <w:unhideWhenUsed/>
    <w:pPr>
      <w:ind w:left="2268" w:right="0" w:firstLine="0"/>
      <w:spacing w:after="57"/>
    </w:pPr>
  </w:style>
  <w:style w:type="paragraph" w:styleId="993">
    <w:name w:val="TOC Heading"/>
    <w:uiPriority w:val="39"/>
    <w:unhideWhenUsed/>
  </w:style>
  <w:style w:type="paragraph" w:styleId="994" w:default="1">
    <w:name w:val="Normal"/>
    <w:qFormat/>
    <w:uiPriority w:val="0"/>
    <w:rPr>
      <w:rFonts w:ascii="Calibri" w:hAnsi="Calibri" w:cs="Times New Roman" w:eastAsia="微软雅黑"/>
      <w:sz w:val="21"/>
      <w:szCs w:val="24"/>
      <w:lang w:val="en-US" w:bidi="ar-SA" w:eastAsia="zh-CN"/>
    </w:rPr>
    <w:pPr>
      <w:jc w:val="both"/>
      <w:widowControl w:val="off"/>
    </w:pPr>
  </w:style>
  <w:style w:type="character" w:styleId="995" w:default="1">
    <w:name w:val="Default Paragraph Font"/>
    <w:qFormat/>
    <w:uiPriority w:val="1"/>
    <w:unhideWhenUsed/>
  </w:style>
  <w:style w:type="table" w:styleId="996" w:default="1">
    <w:name w:val="Normal Table"/>
    <w:qFormat/>
    <w:uiPriority w:val="99"/>
    <w:unhideWhenUsed/>
    <w:tblPr>
      <w:tblCellMar>
        <w:left w:w="108" w:type="dxa"/>
        <w:top w:w="0" w:type="dxa"/>
        <w:right w:w="108" w:type="dxa"/>
        <w:bottom w:w="0" w:type="dxa"/>
      </w:tblCellMar>
    </w:tblPr>
  </w:style>
  <w:style w:type="paragraph" w:styleId="997">
    <w:name w:val="Footer"/>
    <w:basedOn w:val="994"/>
    <w:link w:val="1001"/>
    <w:qFormat/>
    <w:uiPriority w:val="99"/>
    <w:rPr>
      <w:rFonts w:ascii="等线" w:hAnsi="等线" w:cs="等线" w:eastAsia="等线"/>
      <w:sz w:val="18"/>
      <w:szCs w:val="18"/>
    </w:rPr>
    <w:pPr>
      <w:jc w:val="left"/>
      <w:tabs>
        <w:tab w:val="center" w:pos="4153" w:leader="none"/>
        <w:tab w:val="right" w:pos="8306" w:leader="none"/>
      </w:tabs>
    </w:pPr>
  </w:style>
  <w:style w:type="paragraph" w:styleId="998">
    <w:name w:val="Header"/>
    <w:basedOn w:val="9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999">
    <w:name w:val="Normal (Web)"/>
    <w:basedOn w:val="994"/>
    <w:qFormat/>
    <w:uiPriority w:val="0"/>
    <w:rPr>
      <w:sz w:val="24"/>
    </w:rPr>
    <w:pPr>
      <w:jc w:val="left"/>
      <w:spacing w:after="100" w:afterAutospacing="1" w:before="100" w:beforeAutospacing="1"/>
    </w:pPr>
  </w:style>
  <w:style w:type="table" w:styleId="1000">
    <w:name w:val="Table Grid"/>
    <w:basedOn w:val="996"/>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1001" w:customStyle="1">
    <w:name w:val="页脚 字符"/>
    <w:link w:val="997"/>
    <w:qFormat/>
    <w:uiPriority w:val="99"/>
    <w:rPr>
      <w:sz w:val="18"/>
      <w:szCs w:val="18"/>
    </w:rPr>
  </w:style>
  <w:style w:type="character" w:styleId="1002" w:customStyle="1">
    <w:name w:val="页脚 字符1"/>
    <w:basedOn w:val="995"/>
    <w:qFormat/>
    <w:uiPriority w:val="99"/>
    <w:semiHidden/>
    <w:rPr>
      <w:rFonts w:ascii="Calibri" w:hAnsi="Calibri" w:cs="Times New Roman" w:eastAsia="微软雅黑"/>
      <w:sz w:val="18"/>
      <w:szCs w:val="18"/>
    </w:rPr>
  </w:style>
  <w:style w:type="numbering" w:styleId="1003"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5</cp:revision>
  <dcterms:created xsi:type="dcterms:W3CDTF">2020-11-03T12:54:00Z</dcterms:created>
  <dcterms:modified xsi:type="dcterms:W3CDTF">2022-06-28T07:53:52Z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767C1BFF8B114EB58E917DD6D9933C87</vt:lpwstr>
  </property>
</Properties>
</file>