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津元丰泉鉴估字2022第0022号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京A7WX68宝马牌BMW7251小型轿车车损评估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李贵</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京A7WX68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2022年05月30日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2022年06月01日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2022年06月01日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2022年06月01日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津元丰泉鉴估字2022第0022号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130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京A7WX68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LBVFP3904BSE33208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李贵</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京A7WX68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宝马牌BMW7251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LBVFP3904BSE33208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01567704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2011年05月10日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2022年03月07日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1、天津市宝坻区人民法院委托书（2022津0115司技委字第鉴220号）；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3、交通事故认定书。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2022-5-26接到线下委托材料，随即联系各方当事人及代理人，约定鉴定评估时间及地点，在2022-5-30日上午10点申请人代理人、被告驾驶员及被告保险公司均到宝坻区鑫凯汽车修理厂参与鉴定评估工作；</w:t>
      </w:r>
      <w:r>
        <w:rPr>
          <w:rFonts w:ascii="宋体" w:eastAsia="宋体"/>
          <w:sz w:val="30"/>
        </w:rPr>
        <w:br/>
        <w:t xml:space="preserve">事故发生于2022-3-7，被鉴定车辆无责任，因事故车辆已及时修复并正常使用故鉴定基准日定为事故发生日期；</w:t>
      </w:r>
      <w:r>
        <w:rPr>
          <w:rFonts w:ascii="宋体" w:eastAsia="宋体"/>
          <w:sz w:val="30"/>
        </w:rPr>
        <w:br/>
        <w:t xml:space="preserve">我们已实地查勘评估车辆，车辆前杠、左前大灯、左前雾灯、泡沫胎损坏，取得相关损失照片材料后，我司核对相关损失明细，确定损失明细后市场调研相关配件及工时金额，取得调研结果后撰写本报告书；</w:t>
      </w:r>
      <w:r>
        <w:rPr>
          <w:rFonts w:ascii="宋体" w:eastAsia="宋体"/>
          <w:sz w:val="30"/>
        </w:rPr>
        <w:br/>
        <w:t xml:space="preserve">提示：因鉴定评估时车辆已处于未完全维修状态，泡沫胎还未更换（此配件不影响车辆的正常使用），车辆所有人应及时更换该配件将车完全修复完毕。</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18950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壹万捌仟玖佰伍拾元整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2023年05月31日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2022年06月01日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2022-05-31T05:57:42Z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