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王静静</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鲁NH098C</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王静静</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津恒实鉴估字2022第0002号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鲁NH098C东风日产牌DFL7152VAL3小型轿车车值评估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王静静</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2022年04月29日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2022年05月08日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天津恒实价格评估有限公司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王静静</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王静静</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王静静</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鲁NH098C</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LGBT22E00HY003580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王静静</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18526721116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王静静</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鲁NH098C</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东风日产牌DFL7152VAL3</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LGBT22E00HY003580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791855X</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2017年11月02日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为评估对象的市场交易价格提供参考依据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1、王静静委托书（20220002）；</w:t>
      </w:r>
      <w:r>
        <w:rPr>
          <w:rFonts w:ascii="宋体" w:eastAsia="宋体"/>
          <w:sz w:val="30"/>
        </w:rPr>
        <w:br/>
        <w:t xml:space="preserve">2、相关身份证件（复印件）；</w:t>
      </w:r>
      <w:r>
        <w:rPr>
          <w:rFonts w:ascii="宋体" w:eastAsia="宋体"/>
          <w:sz w:val="30"/>
        </w:rPr>
        <w:br/>
        <w:t xml:space="preserve">3、相关车辆证件（复印件）。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1、现场查勘评估对象。</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2022-4-29日已对评估车辆进行实地查勘，本次评估采用重置成本法和现行市价法相结合的方法对该车进行评估价格；</w:t>
      </w:r>
      <w:r>
        <w:rPr>
          <w:rFonts w:ascii="宋体" w:eastAsia="宋体"/>
          <w:sz w:val="30"/>
        </w:rPr>
        <w:br/>
        <w:t xml:space="preserve">静态查勘该车辆车身外观多处划痕，轮毂皆有小损伤，轮胎均老化严重，整体外观情况一般，内饰干净整洁。车辆已行驶里程88000公里，行驶里程较高。车辆基本配置自动挡、电动车窗、铝轮等；</w:t>
      </w:r>
      <w:r>
        <w:rPr>
          <w:rFonts w:ascii="宋体" w:eastAsia="宋体"/>
          <w:sz w:val="30"/>
        </w:rPr>
        <w:br/>
        <w:t xml:space="preserve">动态查勘车辆动力一般，无异响，操控效果好；该车品牌知名度及市场占有率高，油耗低等特点；</w:t>
      </w:r>
      <w:r>
        <w:rPr>
          <w:rFonts w:ascii="宋体" w:eastAsia="宋体"/>
          <w:sz w:val="30"/>
        </w:rPr>
        <w:br/>
        <w:t xml:space="preserve">综上所述，该车外观多处有损，部分配件有老化迹象，目前技术性能状况一般。</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66300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陆万陆仟叁佰元整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2022年11月03日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2022-05-07T07:23:41Z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