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1、2022年04月12日，已和申请人联系告知和其家属联系16600229299，约定2022-4-13日下午两点在北辰庞大之星4S店进行鉴定。已微信通知被告对接人刘丁辉。</w:t>
        <w:cr/>
      </w:r>
      <w:r>
        <w:rPr>
          <w:sz w:val="28"/>
        </w:rPr>
        <w:rPr>
          <w:rFonts w:eastAsia="宋体" w:ascii="宋体"/>
        </w:rPr>
        <w:t>2、2022年04月13日，已查勘车辆外观，还未拆解，拆解后再去核实损失；双方代理人均到场参加鉴定做工；对申请人代理人已写情况询问笔录。</w:t>
        <w:cr/>
      </w:r>
      <w:r>
        <w:rPr>
          <w:sz w:val="28"/>
        </w:rPr>
        <w:rPr>
          <w:rFonts w:eastAsia="宋体" w:ascii="宋体"/>
        </w:rPr>
        <w:t>3、2022年04月19日，拆解已照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