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rFonts w:eastAsia="宋体"/>
          <w:sz w:val="32"/>
          <w:szCs w:val="32"/>
          <w:highlight w:val="none"/>
        </w:rPr>
      </w:pPr>
      <w:r>
        <w:rPr>
          <w:rFonts w:eastAsia="宋体"/>
          <w:sz w:val="32"/>
          <w:szCs w:val="32"/>
          <w:highlight w:val="none"/>
        </w:rPr>
      </w:r>
      <w:r/>
    </w:p>
    <w:p>
      <w:pPr>
        <w:ind w:left="2800" w:hanging="2800"/>
        <w:jc w:val="center"/>
        <w:keepLines w:val="false"/>
        <w:keepNext w:val="false"/>
        <w:pageBreakBefore w:val="false"/>
        <w:spacing w:afterAutospacing="0"/>
        <w:shd w:val="clear" w:fill="auto" w:color="auto"/>
        <w:widowControl/>
        <w:rPr>
          <w:highlight w:val="none"/>
          <w:shd w:val="clear" w:fill="auto" w:color="auto"/>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highlight w:val="none"/>
        </w:rPr>
      </w:pPr>
      <w:r>
        <w:rPr>
          <w:rFonts w:ascii="黑体" w:hAnsi="黑体" w:cs="黑体" w:eastAsia="黑体"/>
          <w:color w:val="000000"/>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hint="eastAsia"/>
          <w:color w:val="000000"/>
          <w:sz w:val="36"/>
          <w:szCs w:val="36"/>
          <w:highlight w:val="none"/>
          <w:shd w:val="clear" w:color="FFFFFF" w:fill="FFFFFF"/>
        </w:rPr>
      </w:pPr>
      <w:r>
        <w:rPr>
          <w:rFonts w:ascii="宋体" w:eastAsia="宋体"/>
          <w:color w:val="000000"/>
          <w:sz w:val="30"/>
          <w:szCs w:val="36"/>
          <w:highlight w:val="none"/>
          <w:shd w:val="nil" w:fill="auto" w:color="auto"/>
        </w:rPr>
        <w:t xml:space="preserve">天津元丰泉机动车鉴定评估有限公司</w:t>
      </w:r>
      <w:r/>
    </w:p>
    <w:p>
      <w:pPr>
        <w:pStyle w:val="985"/>
        <w:jc w:val="center"/>
        <w:keepLines w:val="false"/>
        <w:keepNext w:val="false"/>
        <w:shd w:val="clear" w:fill="auto" w:color="auto"/>
        <w:widowControl/>
        <w:rPr>
          <w:rFonts w:ascii="Menlo" w:hAnsi="Menlo" w:cs="Menlo" w:eastAsia="Menlo"/>
          <w:color w:val="000000"/>
          <w:sz w:val="24"/>
          <w:szCs w:val="24"/>
          <w:highlight w:val="none"/>
        </w:rPr>
        <w:suppressLineNumbers w:val="0"/>
      </w:pPr>
      <w:r>
        <w:rPr>
          <w:rFonts w:ascii="宋体" w:eastAsia="宋体"/>
          <w:b w:val="false"/>
          <w:i w:val="false"/>
          <w:caps w:val="false"/>
          <w:color w:val="000000" w:themeColor="text1"/>
          <w:spacing w:val="0"/>
          <w:sz w:val="18"/>
          <w:szCs w:val="32"/>
          <w:highlight w:val="none"/>
          <w:u w:val="none"/>
          <w:shd w:val="nil" w:fill="auto" w:color="auto"/>
          <w:lang w:val="en-US" w:bidi="ar" w:eastAsia="zh-CN"/>
        </w:rPr>
        <w:t xml:space="preserve">天津市西青区人民法院</w:t>
      </w:r>
      <w:r>
        <w:rPr>
          <w:rFonts w:ascii="Open Sans" w:hAnsi="Open Sans" w:cs="Open Sans" w:eastAsia="Open Sans"/>
          <w:b w:val="false"/>
          <w:i w:val="false"/>
          <w:caps w:val="false"/>
          <w:color w:val="000000" w:themeColor="text1"/>
          <w:spacing w:val="0"/>
          <w:sz w:val="32"/>
          <w:szCs w:val="32"/>
          <w:highlight w:val="none"/>
          <w:u w:val="none"/>
          <w:shd w:val="clear" w:color="FFFFFF" w:fill="FFFFFF"/>
          <w:lang w:bidi="ar" w:eastAsia="zh-CN"/>
        </w:rPr>
        <w:t xml:space="preserve"> </w:t>
      </w:r>
      <w:r>
        <w:rPr>
          <w:rFonts w:ascii="宋体" w:eastAsia="宋体"/>
          <w:b w:val="false"/>
          <w:i w:val="false"/>
          <w:caps w:val="false"/>
          <w:color w:val="000000" w:themeColor="text1"/>
          <w:spacing w:val="0"/>
          <w:sz w:val="18"/>
          <w:szCs w:val="32"/>
          <w:highlight w:val="none"/>
          <w:u w:val="none"/>
          <w:shd w:val="nil" w:fill="auto" w:color="auto"/>
          <w:lang w:val="en-US" w:bidi="ar" w:eastAsia="zh-CN"/>
        </w:rPr>
        <w:t xml:space="preserve">津E03436</w:t>
      </w:r>
      <w:r>
        <w:rPr>
          <w:rFonts w:ascii="Open Sans" w:hAnsi="Open Sans" w:cs="Open Sans" w:eastAsia="Open Sans"/>
          <w:b w:val="false"/>
          <w:i w:val="false"/>
          <w:caps w:val="false"/>
          <w:color w:val="000000" w:themeColor="text1"/>
          <w:spacing w:val="0"/>
          <w:sz w:val="32"/>
          <w:szCs w:val="32"/>
          <w:highlight w:val="none"/>
          <w:u w:val="none"/>
          <w:shd w:val="clear" w:color="FFFFFF" w:fill="FFFFFF"/>
          <w:lang w:bidi="ar" w:eastAsia="zh-CN"/>
        </w:rPr>
        <w:t xml:space="preserve"> </w:t>
      </w:r>
      <w:r>
        <w:rPr>
          <w:rFonts w:ascii="宋体" w:eastAsia="宋体"/>
          <w:b w:val="false"/>
          <w:i w:val="false"/>
          <w:caps w:val="false"/>
          <w:color w:val="000000" w:themeColor="text1"/>
          <w:spacing w:val="0"/>
          <w:sz w:val="18"/>
          <w:szCs w:val="32"/>
          <w:highlight w:val="none"/>
          <w:u w:val="none"/>
          <w:shd w:val="nil" w:fill="auto" w:color="auto"/>
          <w:lang w:val="en-US" w:bidi="ar" w:eastAsia="zh-CN"/>
        </w:rPr>
        <w:t xml:space="preserve">天津市联众出租汽车服务中心和平分部（张兆民）</w:t>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jc w:val="center"/>
        <w:keepLines w:val="false"/>
        <w:keepNext w:val="false"/>
        <w:pageBreakBefore w:val="false"/>
        <w:spacing w:lineRule="exact" w:line="600" w:afterAutospacing="0"/>
        <w:shd w:val="clear" w:fill="auto" w:color="auto"/>
        <w:rPr>
          <w:b w:val="false"/>
          <w:sz w:val="21"/>
          <w:szCs w:val="24"/>
          <w:highlight w:val="none"/>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highlight w:val="none"/>
          <w:lang w:val="en-US" w:eastAsia="zh-CN"/>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highlight w:val="none"/>
          <w:lang w:val="en-US" w:eastAsia="zh-CN"/>
        </w:rPr>
      </w:pPr>
      <w:r>
        <w:rPr>
          <w:rFonts w:ascii="黑体" w:hAnsi="黑体" w:cs="黑体" w:eastAsia="黑体" w:hint="eastAsia"/>
          <w:b/>
          <w:color w:val="454343"/>
          <w:sz w:val="48"/>
          <w:szCs w:val="48"/>
          <w:highlight w:val="none"/>
        </w:rPr>
        <w:t xml:space="preserve">鉴定</w:t>
      </w:r>
      <w:r>
        <w:rPr>
          <w:rFonts w:ascii="黑体" w:hAnsi="黑体" w:cs="黑体" w:eastAsia="黑体" w:hint="eastAsia"/>
          <w:b/>
          <w:color w:val="454343"/>
          <w:sz w:val="48"/>
          <w:szCs w:val="48"/>
          <w:highlight w:val="none"/>
          <w:lang w:val="en-US" w:eastAsia="zh-CN"/>
        </w:rPr>
        <w:t xml:space="preserve">意见书</w:t>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b/>
          <w:color w:val="454343"/>
          <w:sz w:val="48"/>
          <w:szCs w:val="48"/>
          <w:highlight w:val="none"/>
          <w:lang w:val="en-US" w:eastAsia="zh-CN"/>
        </w:rPr>
      </w:pPr>
      <w:r>
        <w:rPr>
          <w:rFonts w:ascii="黑体" w:hAnsi="黑体" w:cs="黑体" w:eastAsia="黑体"/>
          <w:b/>
          <w:color w:val="454343"/>
          <w:sz w:val="48"/>
          <w:szCs w:val="48"/>
          <w:highlight w:val="none"/>
          <w:lang w:val="en-US" w:eastAsia="zh-CN"/>
        </w:rPr>
      </w:r>
      <w:r/>
    </w:p>
    <w:p>
      <w:pPr>
        <w:jc w:val="center"/>
        <w:keepLines w:val="false"/>
        <w:keepNext w:val="false"/>
        <w:pageBreakBefore w:val="false"/>
        <w:spacing w:lineRule="auto" w:line="360"/>
        <w:shd w:val="clear" w:fill="auto" w:color="auto"/>
        <w:widowControl/>
        <w:rPr>
          <w:rFonts w:ascii="宋体" w:hAnsi="宋体" w:cs="宋体" w:eastAsia="宋体" w:hint="eastAsia"/>
          <w:sz w:val="21"/>
          <w:szCs w:val="21"/>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津元丰泉鉴字2022第0009号</w:t>
      </w:r>
      <w:r/>
    </w:p>
    <w:p>
      <w:pPr>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津E03436威志牌CA7150BUE5Q小型轿车车辆维修时长鉴定</w:t>
      </w:r>
      <w:r>
        <w:rPr>
          <w:rFonts w:ascii="宋体" w:hAnsi="宋体" w:cs="宋体" w:eastAsia="宋体" w:hint="eastAsia"/>
          <w:sz w:val="28"/>
          <w:szCs w:val="28"/>
          <w:highlight w:val="none"/>
        </w:rPr>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天津市西青区人民法院</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left="0" w:firstLine="840"/>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eastAsia="宋体" w:hint="eastAsia"/>
          <w:sz w:val="28"/>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翟旺、刘鹏</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firstLine="84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作业日期：</w:t>
      </w:r>
      <w:bookmarkStart w:id="0" w:name="作业日期"/>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2022年03月30日</w:t>
      </w:r>
      <w:r>
        <w:rPr>
          <w:rFonts w:ascii="宋体" w:hAnsi="宋体" w:cs="宋体" w:eastAsia="宋体" w:hint="eastAsia"/>
          <w:sz w:val="28"/>
          <w:szCs w:val="28"/>
          <w:highlight w:val="none"/>
        </w:rPr>
        <w:t xml:space="preserve">---</w:t>
      </w:r>
      <w:bookmarkEnd w:id="0"/>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2022年04月15日</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left="0" w:firstLine="0"/>
        <w:jc w:val="center"/>
        <w:keepLines w:val="false"/>
        <w:keepNext w:val="false"/>
        <w:pageBreakBefore w:val="false"/>
        <w:spacing w:lineRule="auto" w:line="360"/>
        <w:shd w:val="clear" w:fill="auto" w:color="auto"/>
        <w:widowControl w:val="off"/>
        <w:rPr>
          <w:rFonts w:ascii="宋体" w:hAnsi="宋体" w:cs="宋体" w:eastAsia="宋体" w:hint="eastAsia"/>
          <w:sz w:val="28"/>
          <w:szCs w:val="28"/>
          <w:highlight w:val="none"/>
        </w:rPr>
      </w:pPr>
      <w:r>
        <w:rPr>
          <w:rFonts w:ascii="宋体" w:eastAsia="宋体"/>
          <w:sz w:val="30"/>
          <w:szCs w:val="28"/>
          <w:highlight w:val="none"/>
          <w:shd w:val="nil" w:fill="auto" w:color="auto"/>
        </w:rPr>
        <w:t xml:space="preserve">天津元丰泉机动车鉴定评估有限公司</w:t>
      </w:r>
      <w:r/>
    </w:p>
    <w:p>
      <w:pPr>
        <w:keepLines w:val="false"/>
        <w:keepNext w:val="false"/>
        <w:pageBreakBefore w:val="false"/>
        <w:spacing w:lineRule="auto" w:line="360"/>
        <w:shd w:val="clear" w:fill="auto" w:color="auto"/>
        <w:rPr>
          <w:rFonts w:ascii="宋体" w:hAnsi="宋体" w:cs="宋体" w:eastAsia="宋体"/>
          <w:sz w:val="28"/>
          <w:szCs w:val="28"/>
          <w:highlight w:val="none"/>
        </w:rPr>
      </w:pPr>
      <w:r>
        <w:rPr>
          <w:rFonts w:ascii="宋体" w:hAnsi="宋体" w:cs="宋体" w:eastAsia="宋体"/>
          <w:sz w:val="28"/>
          <w:szCs w:val="28"/>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天津市西青区人民法院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right="2385" w:firstLine="296"/>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天津市西青区人民法院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0" w:right="3646" w:firstLine="0"/>
        <w:jc w:val="right"/>
        <w:keepLines w:val="false"/>
        <w:keepNext w:val="false"/>
        <w:pageBreakBefore w:val="false"/>
        <w:spacing w:lineRule="atLeast" w:line="500" w:afterAutospacing="0"/>
        <w:shd w:val="clear" w:fill="auto" w:color="auto"/>
        <w:widowControl w:val="off"/>
        <w:tabs>
          <w:tab w:val="left" w:pos="7560" w:leader="none"/>
        </w:tabs>
        <w:rPr>
          <w:rFonts w:ascii="宋体" w:hAnsi="宋体" w:eastAsia="宋体" w:hint="eastAsia"/>
          <w:sz w:val="24"/>
          <w:szCs w:val="24"/>
          <w:highlight w:val="none"/>
        </w:rPr>
      </w:pPr>
      <w:r>
        <w:rPr>
          <w:rFonts w:ascii="宋体" w:hAnsi="宋体" w:eastAsia="宋体" w:hint="eastAsia"/>
          <w:sz w:val="24"/>
          <w:szCs w:val="24"/>
          <w:highlight w:val="none"/>
        </w:rPr>
        <w:t xml:space="preserve">  </w:t>
      </w:r>
      <w:r/>
    </w:p>
    <w:p>
      <w:pPr>
        <w:ind w:left="0" w:right="3646" w:firstLine="0"/>
        <w:jc w:val="center"/>
        <w:keepLines w:val="false"/>
        <w:keepNext w:val="false"/>
        <w:pageBreakBefore w:val="false"/>
        <w:spacing w:lineRule="atLeast" w:line="500" w:afterAutospacing="0"/>
        <w:shd w:val="clear" w:fill="auto" w:color="auto"/>
        <w:widowControl w:val="off"/>
        <w:tabs>
          <w:tab w:val="left" w:pos="7560" w:leader="none"/>
        </w:tabs>
        <w:rPr>
          <w:rFonts w:ascii="宋体" w:hAnsi="宋体" w:eastAsia="宋体"/>
          <w:sz w:val="24"/>
          <w:szCs w:val="24"/>
          <w:highlight w:val="none"/>
        </w:rPr>
      </w:pPr>
      <w:r>
        <w:rPr>
          <w:rFonts w:ascii="宋体" w:hAnsi="宋体" w:eastAsia="宋体" w:hint="eastAsia"/>
          <w:sz w:val="24"/>
          <w:szCs w:val="24"/>
          <w:highlight w:val="none"/>
        </w:rPr>
        <w:t xml:space="preserve">                               承诺人员：（签名）</w:t>
      </w:r>
      <w:r/>
    </w:p>
    <w:p>
      <w:pPr>
        <w:ind w:left="0" w:right="3646" w:firstLine="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3795" w:right="3646" w:firstLine="204"/>
        <w:jc w:val="both"/>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r>
      <w:r/>
    </w:p>
    <w:p>
      <w:pPr>
        <w:ind w:right="3646" w:firstLine="552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right="3646" w:firstLine="240"/>
        <w:jc w:val="cente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b/>
          <w:bCs w:val="false"/>
          <w:i w:val="false"/>
          <w:caps w:val="false"/>
          <w:color w:val="454343"/>
          <w:spacing w:val="0"/>
          <w:sz w:val="48"/>
          <w:szCs w:val="48"/>
          <w:highlight w:val="none"/>
          <w:lang w:val="en-US" w:eastAsia="zh-CN"/>
        </w:rPr>
      </w:pPr>
      <w:r>
        <w:rPr>
          <w:rFonts w:ascii="宋体" w:hAnsi="宋体" w:hint="eastAsia"/>
          <w:spacing w:val="8"/>
          <w:sz w:val="28"/>
          <w:szCs w:val="28"/>
          <w:highlight w:val="none"/>
        </w:rPr>
        <w:br w:type="page"/>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86"/>
        <w:ind w:left="0" w:right="23" w:firstLine="0"/>
        <w:jc w:val="both"/>
        <w:keepLines w:val="false"/>
        <w:keepNext w:val="false"/>
        <w:pageBreakBefore w:val="false"/>
        <w:spacing w:lineRule="atLeast" w:line="400" w:after="0" w:afterAutospacing="0" w:before="0" w:beforeAutospacing="0"/>
        <w:shd w:val="clear" w:fill="auto" w:color="auto"/>
        <w:widowControl/>
        <w:rPr>
          <w:rFonts w:ascii="宋体" w:hAnsi="宋体" w:cs="宋体" w:eastAsia="宋体"/>
          <w:b/>
          <w:bCs w:val="false"/>
          <w:i w:val="false"/>
          <w:caps w:val="false"/>
          <w:color w:val="454343"/>
          <w:spacing w:val="0"/>
          <w:sz w:val="44"/>
          <w:szCs w:val="44"/>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highlight w:val="none"/>
          <w:lang w:val="en-US" w:eastAsia="zh-CN"/>
        </w:rPr>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rPr>
        <w:t xml:space="preserve">一</w:t>
      </w:r>
      <w:r>
        <w:rPr>
          <w:rFonts w:ascii="宋体" w:hAnsi="宋体" w:cs="宋体" w:eastAsia="宋体" w:hint="eastAsia"/>
          <w:b w:val="false"/>
          <w:i w:val="false"/>
          <w:caps w:val="false"/>
          <w:color w:val="454343"/>
          <w:spacing w:val="0"/>
          <w:sz w:val="30"/>
          <w:szCs w:val="30"/>
          <w:highlight w:val="none"/>
          <w:lang w:eastAsia="zh-CN"/>
        </w:rPr>
        <w:t xml:space="preserve">、委托书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二、鉴定机构承诺书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三、鉴定人员承诺书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四、鉴定意见书</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p>
    <w:p>
      <w:pPr>
        <w:pStyle w:val="985"/>
        <w:ind w:left="0" w:firstLine="840"/>
        <w:keepLines w:val="false"/>
        <w:keepNext w:val="false"/>
        <w:shd w:val="clear" w:fill="auto" w:color="auto"/>
        <w:widowControl/>
        <w:rPr>
          <w:rFonts w:ascii="宋体" w:hAnsi="宋体" w:cs="宋体" w:eastAsia="宋体" w:hint="default"/>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p>
    <w:p>
      <w:pPr>
        <w:pStyle w:val="985"/>
        <w:ind w:left="0" w:firstLine="840"/>
        <w:keepLines w:val="false"/>
        <w:keepNext w:val="false"/>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附件</w:t>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986"/>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津元丰泉鉴字2022第0009号</w:t>
      </w:r>
      <w:r/>
    </w:p>
    <w:p>
      <w:pPr>
        <w:pStyle w:val="986"/>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天津市西青区人民法院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津E03436</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LFP73ACA3G5A06844</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86"/>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tbl>
      <w:tblPr>
        <w:tblStyle w:val="991"/>
        <w:tblpPr w:horzAnchor="page" w:tblpXSpec="center" w:vertAnchor="text" w:tblpY="616" w:leftFromText="180" w:topFromText="0" w:rightFromText="180" w:bottomFromText="0"/>
        <w:tblW w:w="4875"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37"/>
        <w:gridCol w:w="2183"/>
        <w:gridCol w:w="1747"/>
        <w:gridCol w:w="2643"/>
      </w:tblGrid>
      <w:tr>
        <w:trPr>
          <w:jc w:val="center"/>
        </w:trPr>
        <w:tc>
          <w:tcPr>
            <w:tcW w:w="104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委托方：</w:t>
            </w:r>
            <w:r/>
          </w:p>
        </w:tc>
        <w:tc>
          <w:tcPr>
            <w:tcW w:w="1313"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default"/>
                <w:sz w:val="30"/>
                <w:szCs w:val="30"/>
                <w:highlight w:val="none"/>
                <w:lang w:val="en-US" w:eastAsia="zh-CN"/>
              </w:rPr>
            </w:pPr>
            <w:r>
              <w:rPr>
                <w:rFonts w:ascii="宋体" w:eastAsia="宋体"/>
                <w:sz w:val="30"/>
                <w:szCs w:val="30"/>
                <w:highlight w:val="none"/>
              </w:rPr>
              <w:t xml:space="preserve">天津市西青区人民法院</w:t>
            </w:r>
            <w:r/>
          </w:p>
        </w:tc>
        <w:tc>
          <w:tcPr>
            <w:tcW w:w="1051"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联系电话：</w:t>
            </w:r>
            <w:r/>
          </w:p>
        </w:tc>
        <w:tc>
          <w:tcPr>
            <w:tcW w:w="1590"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default"/>
                <w:sz w:val="30"/>
                <w:szCs w:val="30"/>
                <w:highlight w:val="none"/>
                <w:lang w:val="en-US" w:eastAsia="zh-CN"/>
              </w:rPr>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18522676356</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所有人：</w:t>
            </w:r>
            <w:r/>
          </w:p>
        </w:tc>
        <w:tc>
          <w:tcPr>
            <w:tcW w:w="1313"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天津市联众出租汽车服务中心和平分部（张兆民）</w:t>
            </w:r>
            <w:r/>
          </w:p>
        </w:tc>
        <w:tc>
          <w:tcPr>
            <w:tcW w:w="1051"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使用性质：</w:t>
            </w:r>
            <w:r/>
          </w:p>
        </w:tc>
        <w:tc>
          <w:tcPr>
            <w:tcW w:w="1590"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sz w:val="30"/>
                <w:szCs w:val="30"/>
                <w:highlight w:val="none"/>
              </w:rPr>
              <w:t xml:space="preserve">出租客运</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lang w:val="en-US" w:eastAsia="zh-CN"/>
              </w:rPr>
              <w:t xml:space="preserve">车</w:t>
            </w:r>
            <w:r>
              <w:rPr>
                <w:rFonts w:ascii="宋体" w:hAnsi="宋体" w:cs="宋体" w:eastAsia="宋体" w:hint="eastAsia"/>
                <w:sz w:val="30"/>
                <w:szCs w:val="30"/>
                <w:highlight w:val="none"/>
              </w:rPr>
              <w:t xml:space="preserve">牌号码：</w:t>
            </w:r>
            <w:r/>
          </w:p>
        </w:tc>
        <w:tc>
          <w:tcPr>
            <w:tcW w:w="1313"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sz w:val="30"/>
                <w:szCs w:val="30"/>
                <w:highlight w:val="none"/>
              </w:rPr>
              <w:t xml:space="preserve">津E03436</w:t>
            </w:r>
            <w:r/>
          </w:p>
        </w:tc>
        <w:tc>
          <w:tcPr>
            <w:tcW w:w="1051" w:type="pct"/>
            <w:vAlign w:val="top"/>
            <w:textDirection w:val="lrTb"/>
            <w:noWrap w:val="false"/>
          </w:tcPr>
          <w:p>
            <w:p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lang w:eastAsia="zh-CN"/>
              </w:rPr>
            </w:pPr>
            <w:r>
              <w:rPr>
                <w:rFonts w:ascii="宋体" w:hAnsi="宋体" w:cs="宋体" w:eastAsia="宋体" w:hint="eastAsia"/>
                <w:sz w:val="30"/>
                <w:szCs w:val="30"/>
                <w:highlight w:val="none"/>
              </w:rPr>
              <w:t xml:space="preserve">车辆类型</w:t>
            </w:r>
            <w:r>
              <w:rPr>
                <w:rFonts w:ascii="宋体" w:hAnsi="宋体" w:cs="宋体" w:eastAsia="宋体" w:hint="eastAsia"/>
                <w:sz w:val="30"/>
                <w:szCs w:val="30"/>
                <w:highlight w:val="none"/>
                <w:lang w:eastAsia="zh-CN"/>
              </w:rPr>
              <w:t xml:space="preserve">：</w:t>
            </w:r>
            <w:r/>
          </w:p>
        </w:tc>
        <w:tc>
          <w:tcPr>
            <w:tcW w:w="1590"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小型轿车</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品牌型号：</w:t>
            </w:r>
            <w:r/>
          </w:p>
        </w:tc>
        <w:tc>
          <w:tcPr>
            <w:tcW w:w="1313"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sz w:val="30"/>
                <w:szCs w:val="30"/>
                <w:highlight w:val="none"/>
              </w:rPr>
              <w:t xml:space="preserve">威志牌CA7150BUE5Q</w:t>
            </w:r>
            <w:r/>
          </w:p>
        </w:tc>
        <w:tc>
          <w:tcPr>
            <w:tcW w:w="1051"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识别代号：</w:t>
            </w:r>
            <w:r/>
          </w:p>
        </w:tc>
        <w:tc>
          <w:tcPr>
            <w:tcW w:w="1590"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sz w:val="30"/>
                <w:szCs w:val="30"/>
                <w:highlight w:val="none"/>
              </w:rPr>
              <w:t xml:space="preserve">LFP73ACA3G5A06844</w:t>
            </w:r>
            <w:r/>
          </w:p>
        </w:tc>
      </w:tr>
      <w:tr>
        <w:trPr>
          <w:jc w:val="center"/>
        </w:trPr>
        <w:tc>
          <w:tcPr>
            <w:tcW w:w="104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发动机号：</w:t>
            </w:r>
            <w:r/>
          </w:p>
        </w:tc>
        <w:tc>
          <w:tcPr>
            <w:tcW w:w="1313"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sz w:val="30"/>
                <w:szCs w:val="30"/>
                <w:highlight w:val="none"/>
              </w:rPr>
              <w:t xml:space="preserve">MG603289</w:t>
            </w:r>
            <w:r/>
          </w:p>
        </w:tc>
        <w:tc>
          <w:tcPr>
            <w:tcW w:w="1051"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vertAlign w:val="baseline"/>
              </w:rPr>
            </w:pPr>
            <w:r>
              <w:rPr>
                <w:rFonts w:ascii="宋体" w:hAnsi="宋体" w:cs="宋体" w:eastAsia="宋体" w:hint="eastAsia"/>
                <w:sz w:val="30"/>
                <w:szCs w:val="30"/>
                <w:highlight w:val="none"/>
              </w:rPr>
              <w:t xml:space="preserve">登记日期：</w:t>
            </w:r>
            <w:r/>
          </w:p>
        </w:tc>
        <w:tc>
          <w:tcPr>
            <w:tcW w:w="1590"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default"/>
                <w:sz w:val="30"/>
                <w:szCs w:val="30"/>
                <w:highlight w:val="none"/>
                <w:lang w:val="en-US" w:eastAsia="zh-CN"/>
              </w:rPr>
            </w:pPr>
            <w:r>
              <w:rPr>
                <w:rFonts w:ascii="宋体" w:eastAsia="宋体"/>
                <w:sz w:val="30"/>
                <w:szCs w:val="30"/>
                <w:highlight w:val="none"/>
              </w:rPr>
              <w:t xml:space="preserve">2016年09月27日</w:t>
            </w:r>
            <w:r/>
          </w:p>
        </w:tc>
      </w:tr>
    </w:tbl>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ind w:firstLine="482"/>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lang w:val="en-US" w:bidi="ar-SA" w:eastAsia="zh-CN"/>
        </w:rPr>
      </w:pPr>
      <w:r>
        <w:rPr>
          <w:rFonts w:ascii="宋体" w:eastAsia="宋体"/>
          <w:sz w:val="30"/>
          <w:szCs w:val="30"/>
          <w:highlight w:val="none"/>
          <w:shd w:val="nil" w:fill="auto" w:color="auto"/>
          <w:lang w:val="en-US" w:bidi="ar-SA" w:eastAsia="zh-CN"/>
        </w:rPr>
        <w:t xml:space="preserve">为鉴定对象的维修工期提供参考依据</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ind w:right="0" w:firstLine="600"/>
        <w:jc w:val="left"/>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2022年03月30日</w:t>
      </w:r>
      <w:r/>
    </w:p>
    <w:p>
      <w:pPr>
        <w:ind w:left="0" w:right="0" w:firstLine="0"/>
        <w:jc w:val="left"/>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jc w:val="left"/>
        <w:keepLines w:val="false"/>
        <w:keepNext w:val="false"/>
        <w:pageBreakBefore w:val="false"/>
        <w:spacing w:lineRule="exact" w:line="500" w:afterAutospacing="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1、《汽车维护、检测、诊断技术规范》（GB/T18344-2016）；</w:t>
      </w:r>
      <w:r>
        <w:rPr>
          <w:rFonts w:ascii="宋体" w:eastAsia="宋体"/>
          <w:sz w:val="30"/>
        </w:rPr>
        <w:br/>
        <w:t xml:space="preserve">2、《机动车安全运行技术条件》GB7258-2017；</w:t>
      </w:r>
      <w:r>
        <w:rPr>
          <w:rFonts w:ascii="宋体" w:eastAsia="宋体"/>
          <w:sz w:val="30"/>
        </w:rPr>
        <w:br/>
        <w:t xml:space="preserve">3、其他相关国家 / 行业标准、技术规范等。</w:t>
      </w:r>
      <w:r/>
    </w:p>
    <w:p>
      <w:pPr>
        <w:numPr>
          <w:ilvl w:val="0"/>
          <w:numId w:val="0"/>
        </w:numPr>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1、天津市西青区人民法院委托书（2022津0111司技委字第155号）；</w:t>
      </w:r>
      <w:r>
        <w:rPr>
          <w:rFonts w:ascii="宋体" w:eastAsia="宋体"/>
          <w:sz w:val="30"/>
        </w:rPr>
        <w:br/>
        <w:t xml:space="preserve">2、鉴定申请书（复印件）；</w:t>
      </w:r>
      <w:r>
        <w:rPr>
          <w:rFonts w:ascii="宋体" w:eastAsia="宋体"/>
          <w:sz w:val="30"/>
        </w:rPr>
        <w:br/>
        <w:t xml:space="preserve">3、诉状（复印件）；</w:t>
      </w:r>
      <w:r>
        <w:rPr>
          <w:rFonts w:ascii="宋体" w:eastAsia="宋体"/>
          <w:sz w:val="30"/>
        </w:rPr>
        <w:br/>
        <w:t xml:space="preserve">4、相关身份证件（复印件）；</w:t>
      </w:r>
      <w:r>
        <w:rPr>
          <w:rFonts w:ascii="宋体" w:eastAsia="宋体"/>
          <w:sz w:val="30"/>
        </w:rPr>
        <w:br/>
        <w:t xml:space="preserve">5、相关车辆证件（复印件）。</w:t>
      </w:r>
      <w:r/>
    </w:p>
    <w:p>
      <w:pPr>
        <w:numPr>
          <w:ilvl w:val="0"/>
          <w:numId w:val="0"/>
        </w:num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jc w:val="left"/>
        <w:keepLines w:val="false"/>
        <w:keepNext w:val="false"/>
        <w:pageBreakBefore w:val="false"/>
        <w:spacing w:lineRule="exact" w:line="500" w:afterAutospacing="0"/>
        <w:shd w:val="clear" w:fill="auto" w:color="auto"/>
        <w:rPr>
          <w:rFonts w:ascii="宋体" w:hAnsi="宋体" w:cs="宋体" w:eastAsia="宋体" w:hint="eastAsia"/>
          <w:color w:val="FF0000"/>
          <w:spacing w:val="0"/>
          <w:sz w:val="30"/>
          <w:szCs w:val="30"/>
          <w:highlight w:val="none"/>
          <w:lang w:eastAsia="zh-CN"/>
        </w:rPr>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1、核实受伤部位及程度；</w:t>
      </w:r>
      <w:bookmarkStart w:id="1" w:name="_GoBack"/>
      <w:r/>
      <w:bookmarkEnd w:id="1"/>
      <w:r>
        <w:rPr>
          <w:rFonts w:ascii="宋体" w:eastAsia="宋体"/>
          <w:sz w:val="30"/>
        </w:rPr>
        <w:br/>
        <w:t xml:space="preserve">2、确定相关更换部件及损坏程度；</w:t>
      </w:r>
      <w:r>
        <w:rPr>
          <w:rFonts w:ascii="宋体" w:eastAsia="宋体"/>
          <w:sz w:val="30"/>
        </w:rPr>
        <w:br/>
        <w:t xml:space="preserve">3、当事人询问笔录。</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ind w:left="0" w:firstLine="417"/>
        <w:keepLines w:val="false"/>
        <w:keepNext w:val="false"/>
        <w:pageBreakBefore w:val="false"/>
        <w:spacing w:lineRule="exact" w:line="500" w:afterAutospacing="0"/>
        <w:shd w:val="clear" w:fill="auto" w:color="auto"/>
        <w:widowControl w:val="off"/>
        <w:rPr>
          <w:rFonts w:ascii="Times New Roman" w:hAnsi="Times New Roman" w:hint="eastAsia"/>
          <w:color w:val="auto"/>
          <w:spacing w:val="0"/>
          <w:sz w:val="30"/>
          <w:szCs w:val="30"/>
          <w:highlight w:val="none"/>
          <w:lang w:val="en-US" w:eastAsia="zh-CN"/>
        </w:rPr>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jc w:val="left"/>
        <w:keepLines w:val="false"/>
        <w:keepNext w:val="false"/>
        <w:shd w:val="clear" w:fill="auto" w:color="auto"/>
        <w:widowControl/>
        <w:rPr>
          <w:rFonts w:ascii="黑体" w:hAnsi="宋体" w:eastAsia="黑体" w:hint="eastAsia"/>
          <w:sz w:val="32"/>
          <w:szCs w:val="32"/>
          <w:highlight w:val="none"/>
          <w:lang w:val="en-US"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事故发生于2021年11月3日，被鉴定车辆津E03436停放在事故地点，肇事车辆前部撞击被鉴定车辆的前部后，被鉴定车辆后部又与其他停放车辆的后部接触，造成津E03436车前后不同程度受损。。</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jc w:val="left"/>
        <w:keepLines w:val="false"/>
        <w:keepNext w:val="false"/>
        <w:shd w:val="clear" w:fill="auto" w:color="auto"/>
        <w:widowControl/>
        <w:rPr>
          <w:rFonts w:ascii="黑体" w:hAnsi="宋体" w:eastAsia="黑体" w:hint="eastAsia"/>
          <w:sz w:val="32"/>
          <w:szCs w:val="32"/>
          <w:highlight w:val="none"/>
          <w:lang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我司鉴定评估工作人员已对鉴定车辆进行复勘，现车辆已修复，且可以正常使用。复勘同时，约见了车辆使用人宋华丽，对事故发生后的情况做了相关了解并做了询问笔录，确定了事故发生后车辆的维修情况，车辆使用人宋华丽提供了维修明细、事故认定书、维修单位出具的维修证明等材料。</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1、依据事故车辆的维修明细所示，车辆需更换前保险杠、后保险杠及其附件，散热器附件、牌照灯、左侧围板分总成及侧围外板等，由于切割焊接侧围需要拆装玻璃，车身事故面喷漆等工艺完成修复车辆。。</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jc w:val="left"/>
        <w:keepLines w:val="false"/>
        <w:keepNext w:val="false"/>
        <w:shd w:val="clear" w:fill="auto" w:color="auto"/>
        <w:widowControl/>
        <w:rPr>
          <w:rFonts w:ascii="黑体" w:hAnsi="黑体" w:cs="黑体" w:eastAsia="黑体" w:hint="eastAsia"/>
          <w:b w:val="false"/>
          <w:i w:val="false"/>
          <w:caps w:val="false"/>
          <w:color w:val="auto"/>
          <w:spacing w:val="0"/>
          <w:sz w:val="32"/>
          <w:szCs w:val="32"/>
          <w:highlight w:val="none"/>
          <w:lang w:val="en-US" w:bidi="ar"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1、综上所述，本车修复工艺涵盖配件拆装、配件的切割焊接、钣金喷漆等，修复车辆技术性相对复杂，经对该车修复所需工艺及工序的分析得出维修时长意见，该车的维修时长为30天。。</w:t>
      </w:r>
      <w:r/>
    </w:p>
    <w:p>
      <w:pPr>
        <w:ind w:left="0" w:right="0" w:firstLine="0"/>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bidi="ar" w:eastAsia="zh-CN"/>
        </w:rPr>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jc w:val="left"/>
        <w:keepLines w:val="false"/>
        <w:keepNext w:val="false"/>
        <w:shd w:val="clear" w:fill="auto" w:color="auto"/>
        <w:widowControl/>
        <w:rPr>
          <w:rFonts w:ascii="宋体" w:hAnsi="宋体" w:cs="宋体" w:eastAsia="宋体" w:hint="eastAsia"/>
          <w:b w:val="false"/>
          <w:i w:val="false"/>
          <w:caps w:val="false"/>
          <w:color w:val="auto"/>
          <w:spacing w:val="0"/>
          <w:sz w:val="30"/>
          <w:szCs w:val="30"/>
          <w:highlight w:val="none"/>
          <w:lang w:val="en-US" w:bidi="ar" w:eastAsia="zh-CN"/>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4、拆解定损时长、结算费用时长、更改维修方案时长等未考虑也未计算在内。</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eastAsia"/>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5</w:t>
      </w:r>
      <w:r>
        <w:rPr>
          <w:rFonts w:ascii="宋体" w:hAnsi="宋体" w:cs="宋体" w:eastAsia="宋体" w:hint="eastAsia"/>
          <w:color w:val="auto"/>
          <w:spacing w:val="0"/>
          <w:sz w:val="28"/>
          <w:szCs w:val="28"/>
          <w:highlight w:val="none"/>
          <w:lang w:val="en-US" w:eastAsia="zh-CN"/>
        </w:rPr>
        <w:t xml:space="preserve">份，有效期为</w:t>
      </w:r>
      <w:r>
        <w:rPr>
          <w:rFonts w:ascii="宋体" w:eastAsia="宋体"/>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2023年04月14日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default"/>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86"/>
        <w:numPr>
          <w:ilvl w:val="0"/>
          <w:numId w:val="0"/>
        </w:numPr>
        <w:ind w:left="0" w:right="0" w:firstLine="42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default"/>
          <w:color w:val="auto"/>
          <w:spacing w:val="0"/>
          <w:sz w:val="28"/>
          <w:szCs w:val="28"/>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宋体" w:hAnsi="宋体" w:hint="eastAsia"/>
          <w:b/>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default"/>
          <w:color w:val="auto"/>
          <w:spacing w:val="0"/>
          <w:sz w:val="28"/>
          <w:szCs w:val="28"/>
          <w:highlight w:val="none"/>
          <w:lang w:val="en-US" w:eastAsia="zh-CN"/>
        </w:rPr>
        <w:br w:type="page"/>
      </w: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jc w:val="left"/>
        <w:keepLines w:val="false"/>
        <w:keepNext w:val="false"/>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签字</w:t>
      </w:r>
      <w:r>
        <w:rPr>
          <w:rFonts w:ascii="宋体" w:hAnsi="宋体" w:cs="宋体" w:eastAsia="宋体" w:hint="eastAsia"/>
          <w:b w:val="false"/>
          <w:bCs w:val="false"/>
          <w:sz w:val="30"/>
          <w:szCs w:val="30"/>
          <w:highlight w:val="none"/>
          <w:lang w:val="en-US"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鉴定评估人员：(签字)</w:t>
      </w:r>
      <w:r/>
    </w:p>
    <w:p>
      <w:pPr>
        <w:jc w:val="left"/>
        <w:keepLines w:val="false"/>
        <w:keepNext w:val="false"/>
        <w:shd w:val="clear" w:fill="auto" w:color="auto"/>
        <w:widowControl/>
        <w:rPr>
          <w:rFonts w:ascii="宋体" w:hAnsi="宋体" w:cs="宋体" w:eastAsia="宋体" w:hint="default"/>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lang w:val="en-US" w:eastAsia="zh-CN"/>
        </w:rPr>
        <w:t xml:space="preserve">(盖章)                </w:t>
      </w:r>
      <w:r>
        <w:rPr>
          <w:rFonts w:ascii="宋体" w:eastAsia="宋体"/>
          <w:b w:val="false"/>
          <w:i w:val="false"/>
          <w:caps w:val="false"/>
          <w:color w:val="333333"/>
          <w:spacing w:val="0"/>
          <w:sz w:val="30"/>
          <w:szCs w:val="32"/>
          <w:highlight w:val="none"/>
          <w:u w:val="none"/>
          <w:shd w:val="nil" w:fill="auto" w:color="auto"/>
          <w:lang w:val="en-US" w:bidi="ar" w:eastAsia="zh-CN"/>
        </w:rPr>
        <w:t xml:space="preserve">（盖章）</w:t>
      </w:r>
      <w:r/>
    </w:p>
    <w:p>
      <w:pPr>
        <w:numPr>
          <w:ilvl w:val="0"/>
          <w:numId w:val="0"/>
        </w:numPr>
        <w:ind w:right="48"/>
        <w:jc w:val="right"/>
        <w:keepLines w:val="false"/>
        <w:keepNext w:val="false"/>
        <w:pageBreakBefore w:val="false"/>
        <w:spacing w:lineRule="exact" w:line="500" w:afterAutospacing="0"/>
        <w:shd w:val="clear" w:fill="auto" w:color="auto"/>
        <w:rPr>
          <w:rFonts w:ascii="宋体" w:hAnsi="宋体" w:cs="宋体" w:eastAsia="宋体"/>
          <w:b w:val="false"/>
          <w:bCs w:val="false"/>
          <w:sz w:val="30"/>
          <w:szCs w:val="30"/>
          <w:highlight w:val="none"/>
          <w:lang w:val="en-US" w:eastAsia="zh-CN"/>
        </w:rPr>
      </w:pPr>
      <w:r>
        <w:rPr>
          <w:rFonts w:ascii="宋体" w:hAnsi="宋体" w:cs="宋体" w:eastAsia="宋体"/>
          <w:b w:val="false"/>
          <w:bCs w:val="false"/>
          <w:sz w:val="30"/>
          <w:szCs w:val="30"/>
          <w:highlight w:val="none"/>
          <w:lang w:val="en-US" w:eastAsia="zh-CN"/>
        </w:rPr>
      </w:r>
      <w:r/>
    </w:p>
    <w:p>
      <w:pPr>
        <w:numPr>
          <w:ilvl w:val="0"/>
          <w:numId w:val="0"/>
        </w:numPr>
        <w:ind w:right="48" w:firstLine="6000"/>
        <w:jc w:val="right"/>
        <w:keepLines w:val="false"/>
        <w:keepNext w:val="false"/>
        <w:pageBreakBefore w:val="false"/>
        <w:spacing w:lineRule="exact" w:line="500" w:afterAutospacing="0"/>
        <w:shd w:val="clear" w:fill="auto" w:color="auto"/>
        <w:rPr>
          <w:rFonts w:ascii="宋体" w:hAnsi="宋体" w:cs="宋体" w:eastAsia="宋体"/>
          <w:b w:val="false"/>
          <w:bCs w:val="false"/>
          <w:sz w:val="30"/>
          <w:szCs w:val="30"/>
          <w:highlight w:val="none"/>
          <w:lang w:val="en-US" w:eastAsia="zh-CN"/>
        </w:rPr>
      </w:pPr>
      <w:r>
        <w:rPr>
          <w:rFonts w:ascii="宋体" w:hAnsi="宋体" w:cs="宋体" w:eastAsia="宋体"/>
          <w:b w:val="false"/>
          <w:bCs w:val="false"/>
          <w:sz w:val="30"/>
          <w:szCs w:val="30"/>
          <w:highlight w:val="none"/>
          <w:lang w:val="en-US" w:eastAsia="zh-CN"/>
        </w:rPr>
      </w:r>
      <w:r/>
    </w:p>
    <w:p>
      <w:pPr>
        <w:numPr>
          <w:ilvl w:val="0"/>
          <w:numId w:val="0"/>
        </w:numPr>
        <w:ind w:right="105" w:firstLine="6000"/>
        <w:jc w:val="right"/>
        <w:keepLines w:val="false"/>
        <w:keepNext w:val="false"/>
        <w:pageBreakBefore w:val="false"/>
        <w:spacing w:lineRule="exact" w:line="500" w:afterAutospacing="0"/>
        <w:shd w:val="clear" w:fill="auto" w:color="auto"/>
        <w:rPr>
          <w:rFonts w:ascii="宋体" w:hAnsi="宋体" w:cs="宋体" w:eastAsia="宋体" w:hint="eastAsia"/>
          <w:b w:val="false"/>
          <w:bCs w:val="false"/>
          <w:sz w:val="30"/>
          <w:szCs w:val="30"/>
          <w:highlight w:val="none"/>
          <w:lang w:val="en-US" w:eastAsia="zh-CN"/>
        </w:rPr>
      </w:pPr>
      <w:r>
        <w:rPr>
          <w:rFonts w:ascii="宋体" w:hAnsi="宋体" w:cs="宋体" w:eastAsia="宋体" w:hint="eastAsia"/>
          <w:b w:val="false"/>
          <w:bCs w:val="false"/>
          <w:sz w:val="30"/>
          <w:szCs w:val="30"/>
          <w:highlight w:val="none"/>
          <w:lang w:val="en-US" w:eastAsia="zh-CN"/>
        </w:rPr>
        <w:t xml:space="preserve">复核人：(签字)</w:t>
      </w:r>
      <w:r/>
    </w:p>
    <w:p>
      <w:pPr>
        <w:numPr>
          <w:ilvl w:val="0"/>
          <w:numId w:val="0"/>
        </w:numPr>
        <w:ind w:right="105" w:firstLine="6300"/>
        <w:jc w:val="right"/>
        <w:keepLines w:val="false"/>
        <w:keepNext w:val="false"/>
        <w:pageBreakBefore w:val="false"/>
        <w:spacing w:lineRule="exact" w:line="500" w:afterAutospacing="0"/>
        <w:shd w:val="clear" w:fill="auto" w:color="auto"/>
        <w:rPr>
          <w:rFonts w:ascii="宋体" w:hAnsi="宋体" w:cs="宋体" w:eastAsia="宋体" w:hint="eastAsia"/>
          <w:sz w:val="30"/>
          <w:szCs w:val="30"/>
          <w:highlight w:val="none"/>
        </w:rPr>
      </w:pPr>
      <w:r>
        <w:rPr>
          <w:rFonts w:ascii="宋体" w:hAnsi="宋体" w:cs="宋体" w:eastAsia="宋体" w:hint="eastAsia"/>
          <w:b w:val="false"/>
          <w:bCs w:val="false"/>
          <w:sz w:val="30"/>
          <w:szCs w:val="30"/>
          <w:highlight w:val="none"/>
          <w:lang w:val="en-US" w:eastAsia="zh-CN"/>
        </w:rPr>
        <w:t xml:space="preserve">(盖章)</w:t>
      </w:r>
      <w:r/>
    </w:p>
    <w:p>
      <w:pPr>
        <w:ind w:firstLine="600"/>
        <w:jc w:val="both"/>
        <w:keepLines w:val="false"/>
        <w:keepNext w:val="false"/>
        <w:pageBreakBefore w:val="false"/>
        <w:spacing w:lineRule="auto" w:line="24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auto" w:line="24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jc w:val="left"/>
        <w:keepLines w:val="false"/>
        <w:keepNext w:val="false"/>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2022年04月15日</w: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d="f" strokeweight="1.25pt">
              <v:path textboxrect="0,0,0,0"/>
              <v:textbox>
                <w:txbxContent>
                  <w:p>
                    <w:pPr>
                      <w:pStyle w:val="982"/>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w:t xml:space="preserve">天津元丰泉鉴定评估有限公司</w:t>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5"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6">
    <w:name w:val="table of figures"/>
    <w:basedOn w:val="975"/>
    <w:next w:val="975"/>
    <w:uiPriority w:val="99"/>
    <w:unhideWhenUsed/>
    <w:pPr>
      <w:spacing w:after="0" w:afterAutospacing="0"/>
    </w:pPr>
  </w:style>
  <w:style w:type="paragraph" w:styleId="807">
    <w:name w:val="Heading 1"/>
    <w:basedOn w:val="975"/>
    <w:next w:val="975"/>
    <w:link w:val="808"/>
    <w:qFormat/>
    <w:uiPriority w:val="9"/>
    <w:rPr>
      <w:rFonts w:ascii="Arial" w:hAnsi="Arial" w:cs="Arial" w:eastAsia="Arial"/>
      <w:sz w:val="40"/>
      <w:szCs w:val="40"/>
    </w:rPr>
    <w:pPr>
      <w:keepLines/>
      <w:keepNext/>
      <w:spacing w:after="200" w:before="480"/>
      <w:outlineLvl w:val="0"/>
    </w:pPr>
  </w:style>
  <w:style w:type="character" w:styleId="808">
    <w:name w:val="Heading 1 Char"/>
    <w:basedOn w:val="977"/>
    <w:link w:val="807"/>
    <w:uiPriority w:val="9"/>
    <w:rPr>
      <w:rFonts w:ascii="Arial" w:hAnsi="Arial" w:cs="Arial" w:eastAsia="Arial"/>
      <w:sz w:val="40"/>
      <w:szCs w:val="40"/>
    </w:rPr>
  </w:style>
  <w:style w:type="character" w:styleId="809">
    <w:name w:val="Heading 2 Char"/>
    <w:basedOn w:val="977"/>
    <w:link w:val="976"/>
    <w:uiPriority w:val="9"/>
    <w:rPr>
      <w:rFonts w:ascii="Arial" w:hAnsi="Arial" w:cs="Arial" w:eastAsia="Arial"/>
      <w:sz w:val="34"/>
    </w:rPr>
  </w:style>
  <w:style w:type="paragraph" w:styleId="810">
    <w:name w:val="Heading 3"/>
    <w:basedOn w:val="975"/>
    <w:next w:val="975"/>
    <w:link w:val="811"/>
    <w:qFormat/>
    <w:uiPriority w:val="9"/>
    <w:unhideWhenUsed/>
    <w:rPr>
      <w:rFonts w:ascii="Arial" w:hAnsi="Arial" w:cs="Arial" w:eastAsia="Arial"/>
      <w:sz w:val="30"/>
      <w:szCs w:val="30"/>
    </w:rPr>
    <w:pPr>
      <w:keepLines/>
      <w:keepNext/>
      <w:spacing w:after="200" w:before="320"/>
      <w:outlineLvl w:val="2"/>
    </w:pPr>
  </w:style>
  <w:style w:type="character" w:styleId="811">
    <w:name w:val="Heading 3 Char"/>
    <w:basedOn w:val="977"/>
    <w:link w:val="810"/>
    <w:uiPriority w:val="9"/>
    <w:rPr>
      <w:rFonts w:ascii="Arial" w:hAnsi="Arial" w:cs="Arial" w:eastAsia="Arial"/>
      <w:sz w:val="30"/>
      <w:szCs w:val="30"/>
    </w:rPr>
  </w:style>
  <w:style w:type="paragraph" w:styleId="812">
    <w:name w:val="Heading 4"/>
    <w:basedOn w:val="975"/>
    <w:next w:val="975"/>
    <w:link w:val="813"/>
    <w:qFormat/>
    <w:uiPriority w:val="9"/>
    <w:unhideWhenUsed/>
    <w:rPr>
      <w:rFonts w:ascii="Arial" w:hAnsi="Arial" w:cs="Arial" w:eastAsia="Arial"/>
      <w:b/>
      <w:bCs/>
      <w:sz w:val="26"/>
      <w:szCs w:val="26"/>
    </w:rPr>
    <w:pPr>
      <w:keepLines/>
      <w:keepNext/>
      <w:spacing w:after="200" w:before="320"/>
      <w:outlineLvl w:val="3"/>
    </w:pPr>
  </w:style>
  <w:style w:type="character" w:styleId="813">
    <w:name w:val="Heading 4 Char"/>
    <w:basedOn w:val="977"/>
    <w:link w:val="812"/>
    <w:uiPriority w:val="9"/>
    <w:rPr>
      <w:rFonts w:ascii="Arial" w:hAnsi="Arial" w:cs="Arial" w:eastAsia="Arial"/>
      <w:b/>
      <w:bCs/>
      <w:sz w:val="26"/>
      <w:szCs w:val="26"/>
    </w:rPr>
  </w:style>
  <w:style w:type="paragraph" w:styleId="814">
    <w:name w:val="Heading 5"/>
    <w:basedOn w:val="975"/>
    <w:next w:val="975"/>
    <w:link w:val="815"/>
    <w:qFormat/>
    <w:uiPriority w:val="9"/>
    <w:unhideWhenUsed/>
    <w:rPr>
      <w:rFonts w:ascii="Arial" w:hAnsi="Arial" w:cs="Arial" w:eastAsia="Arial"/>
      <w:b/>
      <w:bCs/>
      <w:sz w:val="24"/>
      <w:szCs w:val="24"/>
    </w:rPr>
    <w:pPr>
      <w:keepLines/>
      <w:keepNext/>
      <w:spacing w:after="200" w:before="320"/>
      <w:outlineLvl w:val="4"/>
    </w:pPr>
  </w:style>
  <w:style w:type="character" w:styleId="815">
    <w:name w:val="Heading 5 Char"/>
    <w:basedOn w:val="977"/>
    <w:link w:val="814"/>
    <w:uiPriority w:val="9"/>
    <w:rPr>
      <w:rFonts w:ascii="Arial" w:hAnsi="Arial" w:cs="Arial" w:eastAsia="Arial"/>
      <w:b/>
      <w:bCs/>
      <w:sz w:val="24"/>
      <w:szCs w:val="24"/>
    </w:rPr>
  </w:style>
  <w:style w:type="paragraph" w:styleId="816">
    <w:name w:val="Heading 6"/>
    <w:basedOn w:val="975"/>
    <w:next w:val="975"/>
    <w:link w:val="817"/>
    <w:qFormat/>
    <w:uiPriority w:val="9"/>
    <w:unhideWhenUsed/>
    <w:rPr>
      <w:rFonts w:ascii="Arial" w:hAnsi="Arial" w:cs="Arial" w:eastAsia="Arial"/>
      <w:b/>
      <w:bCs/>
      <w:sz w:val="22"/>
      <w:szCs w:val="22"/>
    </w:rPr>
    <w:pPr>
      <w:keepLines/>
      <w:keepNext/>
      <w:spacing w:after="200" w:before="320"/>
      <w:outlineLvl w:val="5"/>
    </w:pPr>
  </w:style>
  <w:style w:type="character" w:styleId="817">
    <w:name w:val="Heading 6 Char"/>
    <w:basedOn w:val="977"/>
    <w:link w:val="816"/>
    <w:uiPriority w:val="9"/>
    <w:rPr>
      <w:rFonts w:ascii="Arial" w:hAnsi="Arial" w:cs="Arial" w:eastAsia="Arial"/>
      <w:b/>
      <w:bCs/>
      <w:sz w:val="22"/>
      <w:szCs w:val="22"/>
    </w:rPr>
  </w:style>
  <w:style w:type="paragraph" w:styleId="818">
    <w:name w:val="Heading 7"/>
    <w:basedOn w:val="975"/>
    <w:next w:val="975"/>
    <w:link w:val="819"/>
    <w:qFormat/>
    <w:uiPriority w:val="9"/>
    <w:unhideWhenUsed/>
    <w:rPr>
      <w:rFonts w:ascii="Arial" w:hAnsi="Arial" w:cs="Arial" w:eastAsia="Arial"/>
      <w:b/>
      <w:bCs/>
      <w:i/>
      <w:iCs/>
      <w:sz w:val="22"/>
      <w:szCs w:val="22"/>
    </w:rPr>
    <w:pPr>
      <w:keepLines/>
      <w:keepNext/>
      <w:spacing w:after="200" w:before="320"/>
      <w:outlineLvl w:val="6"/>
    </w:pPr>
  </w:style>
  <w:style w:type="character" w:styleId="819">
    <w:name w:val="Heading 7 Char"/>
    <w:basedOn w:val="977"/>
    <w:link w:val="818"/>
    <w:uiPriority w:val="9"/>
    <w:rPr>
      <w:rFonts w:ascii="Arial" w:hAnsi="Arial" w:cs="Arial" w:eastAsia="Arial"/>
      <w:b/>
      <w:bCs/>
      <w:i/>
      <w:iCs/>
      <w:sz w:val="22"/>
      <w:szCs w:val="22"/>
    </w:rPr>
  </w:style>
  <w:style w:type="paragraph" w:styleId="820">
    <w:name w:val="Heading 8"/>
    <w:basedOn w:val="975"/>
    <w:next w:val="975"/>
    <w:link w:val="821"/>
    <w:qFormat/>
    <w:uiPriority w:val="9"/>
    <w:unhideWhenUsed/>
    <w:rPr>
      <w:rFonts w:ascii="Arial" w:hAnsi="Arial" w:cs="Arial" w:eastAsia="Arial"/>
      <w:i/>
      <w:iCs/>
      <w:sz w:val="22"/>
      <w:szCs w:val="22"/>
    </w:rPr>
    <w:pPr>
      <w:keepLines/>
      <w:keepNext/>
      <w:spacing w:after="200" w:before="320"/>
      <w:outlineLvl w:val="7"/>
    </w:pPr>
  </w:style>
  <w:style w:type="character" w:styleId="821">
    <w:name w:val="Heading 8 Char"/>
    <w:basedOn w:val="977"/>
    <w:link w:val="820"/>
    <w:uiPriority w:val="9"/>
    <w:rPr>
      <w:rFonts w:ascii="Arial" w:hAnsi="Arial" w:cs="Arial" w:eastAsia="Arial"/>
      <w:i/>
      <w:iCs/>
      <w:sz w:val="22"/>
      <w:szCs w:val="22"/>
    </w:rPr>
  </w:style>
  <w:style w:type="paragraph" w:styleId="822">
    <w:name w:val="Heading 9"/>
    <w:basedOn w:val="975"/>
    <w:next w:val="975"/>
    <w:link w:val="823"/>
    <w:qFormat/>
    <w:uiPriority w:val="9"/>
    <w:unhideWhenUsed/>
    <w:rPr>
      <w:rFonts w:ascii="Arial" w:hAnsi="Arial" w:cs="Arial" w:eastAsia="Arial"/>
      <w:i/>
      <w:iCs/>
      <w:sz w:val="21"/>
      <w:szCs w:val="21"/>
    </w:rPr>
    <w:pPr>
      <w:keepLines/>
      <w:keepNext/>
      <w:spacing w:after="200" w:before="320"/>
      <w:outlineLvl w:val="8"/>
    </w:pPr>
  </w:style>
  <w:style w:type="character" w:styleId="823">
    <w:name w:val="Heading 9 Char"/>
    <w:basedOn w:val="977"/>
    <w:link w:val="822"/>
    <w:uiPriority w:val="9"/>
    <w:rPr>
      <w:rFonts w:ascii="Arial" w:hAnsi="Arial" w:cs="Arial" w:eastAsia="Arial"/>
      <w:i/>
      <w:iCs/>
      <w:sz w:val="21"/>
      <w:szCs w:val="21"/>
    </w:rPr>
  </w:style>
  <w:style w:type="paragraph" w:styleId="824">
    <w:name w:val="List Paragraph"/>
    <w:basedOn w:val="975"/>
    <w:qFormat/>
    <w:uiPriority w:val="34"/>
    <w:pPr>
      <w:contextualSpacing w:val="true"/>
      <w:ind w:left="720"/>
    </w:pPr>
  </w:style>
  <w:style w:type="paragraph" w:styleId="825">
    <w:name w:val="No Spacing"/>
    <w:qFormat/>
    <w:uiPriority w:val="1"/>
    <w:pPr>
      <w:spacing w:lineRule="auto" w:line="240" w:after="0" w:before="0"/>
    </w:pPr>
  </w:style>
  <w:style w:type="paragraph" w:styleId="826">
    <w:name w:val="Title"/>
    <w:basedOn w:val="975"/>
    <w:next w:val="975"/>
    <w:link w:val="827"/>
    <w:qFormat/>
    <w:uiPriority w:val="10"/>
    <w:rPr>
      <w:sz w:val="48"/>
      <w:szCs w:val="48"/>
    </w:rPr>
    <w:pPr>
      <w:contextualSpacing w:val="true"/>
      <w:spacing w:after="200" w:before="300"/>
    </w:pPr>
  </w:style>
  <w:style w:type="character" w:styleId="827">
    <w:name w:val="Title Char"/>
    <w:basedOn w:val="977"/>
    <w:link w:val="826"/>
    <w:uiPriority w:val="10"/>
    <w:rPr>
      <w:sz w:val="48"/>
      <w:szCs w:val="48"/>
    </w:rPr>
  </w:style>
  <w:style w:type="paragraph" w:styleId="828">
    <w:name w:val="Subtitle"/>
    <w:basedOn w:val="975"/>
    <w:next w:val="975"/>
    <w:link w:val="829"/>
    <w:qFormat/>
    <w:uiPriority w:val="11"/>
    <w:rPr>
      <w:sz w:val="24"/>
      <w:szCs w:val="24"/>
    </w:rPr>
    <w:pPr>
      <w:spacing w:after="200" w:before="200"/>
    </w:pPr>
  </w:style>
  <w:style w:type="character" w:styleId="829">
    <w:name w:val="Subtitle Char"/>
    <w:basedOn w:val="977"/>
    <w:link w:val="828"/>
    <w:uiPriority w:val="11"/>
    <w:rPr>
      <w:sz w:val="24"/>
      <w:szCs w:val="24"/>
    </w:rPr>
  </w:style>
  <w:style w:type="paragraph" w:styleId="830">
    <w:name w:val="Quote"/>
    <w:basedOn w:val="975"/>
    <w:next w:val="975"/>
    <w:link w:val="831"/>
    <w:qFormat/>
    <w:uiPriority w:val="29"/>
    <w:rPr>
      <w:i/>
    </w:rPr>
    <w:pPr>
      <w:ind w:left="720" w:right="720"/>
    </w:pPr>
  </w:style>
  <w:style w:type="character" w:styleId="831">
    <w:name w:val="Quote Char"/>
    <w:link w:val="830"/>
    <w:uiPriority w:val="29"/>
    <w:rPr>
      <w:i/>
    </w:rPr>
  </w:style>
  <w:style w:type="paragraph" w:styleId="832">
    <w:name w:val="Intense Quote"/>
    <w:basedOn w:val="975"/>
    <w:next w:val="975"/>
    <w:link w:val="83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33">
    <w:name w:val="Intense Quote Char"/>
    <w:link w:val="832"/>
    <w:uiPriority w:val="30"/>
    <w:rPr>
      <w:i/>
    </w:rPr>
  </w:style>
  <w:style w:type="character" w:styleId="834">
    <w:name w:val="Header Char"/>
    <w:basedOn w:val="977"/>
    <w:link w:val="983"/>
    <w:uiPriority w:val="99"/>
  </w:style>
  <w:style w:type="character" w:styleId="835">
    <w:name w:val="Footer Char"/>
    <w:basedOn w:val="977"/>
    <w:link w:val="982"/>
    <w:uiPriority w:val="99"/>
  </w:style>
  <w:style w:type="paragraph" w:styleId="836">
    <w:name w:val="Caption"/>
    <w:basedOn w:val="975"/>
    <w:next w:val="975"/>
    <w:qFormat/>
    <w:uiPriority w:val="35"/>
    <w:semiHidden/>
    <w:unhideWhenUsed/>
    <w:rPr>
      <w:b/>
      <w:bCs/>
      <w:color w:val="4F81BD" w:themeColor="accent1"/>
      <w:sz w:val="18"/>
      <w:szCs w:val="18"/>
    </w:rPr>
    <w:pPr>
      <w:spacing w:lineRule="auto" w:line="276"/>
    </w:pPr>
  </w:style>
  <w:style w:type="character" w:styleId="837">
    <w:name w:val="Caption Char"/>
    <w:basedOn w:val="836"/>
    <w:link w:val="982"/>
    <w:uiPriority w:val="99"/>
  </w:style>
  <w:style w:type="table" w:styleId="838">
    <w:name w:val="Table Grid Light"/>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39">
    <w:name w:val="Plain Table 1"/>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40">
    <w:name w:val="Plain Table 2"/>
    <w:basedOn w:val="9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41">
    <w:name w:val="Plain Table 3"/>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42">
    <w:name w:val="Plain Table 4"/>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43">
    <w:name w:val="Plain Table 5"/>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44">
    <w:name w:val="Grid Table 1 Light"/>
    <w:basedOn w:val="9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45">
    <w:name w:val="Grid Table 1 Light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46">
    <w:name w:val="Grid Table 1 Light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47">
    <w:name w:val="Grid Table 1 Light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48">
    <w:name w:val="Grid Table 1 Light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49">
    <w:name w:val="Grid Table 1 Light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50">
    <w:name w:val="Grid Table 1 Light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51">
    <w:name w:val="Grid Table 2"/>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52">
    <w:name w:val="Grid Table 2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53">
    <w:name w:val="Grid Table 2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54">
    <w:name w:val="Grid Table 2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55">
    <w:name w:val="Grid Table 2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56">
    <w:name w:val="Grid Table 2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57">
    <w:name w:val="Grid Table 2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58">
    <w:name w:val="Grid Table 3"/>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59">
    <w:name w:val="Grid Table 3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0">
    <w:name w:val="Grid Table 3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1">
    <w:name w:val="Grid Table 3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2">
    <w:name w:val="Grid Table 3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3">
    <w:name w:val="Grid Table 3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4">
    <w:name w:val="Grid Table 3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5">
    <w:name w:val="Grid Table 4"/>
    <w:basedOn w:val="9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66">
    <w:name w:val="Grid Table 4 - Accent 1"/>
    <w:basedOn w:val="9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67">
    <w:name w:val="Grid Table 4 - Accent 2"/>
    <w:basedOn w:val="9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68">
    <w:name w:val="Grid Table 4 - Accent 3"/>
    <w:basedOn w:val="9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69">
    <w:name w:val="Grid Table 4 - Accent 4"/>
    <w:basedOn w:val="9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70">
    <w:name w:val="Grid Table 4 - Accent 5"/>
    <w:basedOn w:val="9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71">
    <w:name w:val="Grid Table 4 - Accent 6"/>
    <w:basedOn w:val="9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72">
    <w:name w:val="Grid Table 5 Dark"/>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3">
    <w:name w:val="Grid Table 5 Dark- Accent 1"/>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4">
    <w:name w:val="Grid Table 5 Dark - Accent 2"/>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5">
    <w:name w:val="Grid Table 5 Dark - Accent 3"/>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6">
    <w:name w:val="Grid Table 5 Dark- Accent 4"/>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7">
    <w:name w:val="Grid Table 5 Dark - Accent 5"/>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8">
    <w:name w:val="Grid Table 5 Dark - Accent 6"/>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9">
    <w:name w:val="Grid Table 6 Colorful"/>
    <w:basedOn w:val="9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80">
    <w:name w:val="Grid Table 6 Colorful - Accent 1"/>
    <w:basedOn w:val="9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81">
    <w:name w:val="Grid Table 6 Colorful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82">
    <w:name w:val="Grid Table 6 Colorful - Accent 3"/>
    <w:basedOn w:val="9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83">
    <w:name w:val="Grid Table 6 Colorful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84">
    <w:name w:val="Grid Table 6 Colorful - Accent 5"/>
    <w:basedOn w:val="9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5">
    <w:name w:val="Grid Table 6 Colorful - Accent 6"/>
    <w:basedOn w:val="9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6">
    <w:name w:val="Grid Table 7 Colorful"/>
    <w:basedOn w:val="9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87">
    <w:name w:val="Grid Table 7 Colorful - Accent 1"/>
    <w:basedOn w:val="9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88">
    <w:name w:val="Grid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89">
    <w:name w:val="Grid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90">
    <w:name w:val="Grid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91">
    <w:name w:val="Grid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92">
    <w:name w:val="Grid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93">
    <w:name w:val="List Table 1 Light"/>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94">
    <w:name w:val="List Table 1 Light - Accent 1"/>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95">
    <w:name w:val="List Table 1 Light - Accent 2"/>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96">
    <w:name w:val="List Table 1 Light - Accent 3"/>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97">
    <w:name w:val="List Table 1 Light - Accent 4"/>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98">
    <w:name w:val="List Table 1 Light - Accent 5"/>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99">
    <w:name w:val="List Table 1 Light - Accent 6"/>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00">
    <w:name w:val="List Table 2"/>
    <w:basedOn w:val="9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01">
    <w:name w:val="List Table 2 - Accent 1"/>
    <w:basedOn w:val="9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02">
    <w:name w:val="List Table 2 - Accent 2"/>
    <w:basedOn w:val="9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03">
    <w:name w:val="List Table 2 - Accent 3"/>
    <w:basedOn w:val="9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04">
    <w:name w:val="List Table 2 - Accent 4"/>
    <w:basedOn w:val="9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05">
    <w:name w:val="List Table 2 - Accent 5"/>
    <w:basedOn w:val="9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06">
    <w:name w:val="List Table 2 - Accent 6"/>
    <w:basedOn w:val="9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07">
    <w:name w:val="List Table 3"/>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8">
    <w:name w:val="List Table 3 - Accent 1"/>
    <w:basedOn w:val="9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9">
    <w:name w:val="List Table 3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0">
    <w:name w:val="List Table 3 - Accent 3"/>
    <w:basedOn w:val="9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1">
    <w:name w:val="List Table 3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2">
    <w:name w:val="List Table 3 - Accent 5"/>
    <w:basedOn w:val="9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3">
    <w:name w:val="List Table 3 - Accent 6"/>
    <w:basedOn w:val="9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4">
    <w:name w:val="List Table 4"/>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5">
    <w:name w:val="List Table 4 - Accent 1"/>
    <w:basedOn w:val="9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6">
    <w:name w:val="List Table 4 - Accent 2"/>
    <w:basedOn w:val="9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7">
    <w:name w:val="List Table 4 - Accent 3"/>
    <w:basedOn w:val="9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8">
    <w:name w:val="List Table 4 - Accent 4"/>
    <w:basedOn w:val="9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4 - Accent 5"/>
    <w:basedOn w:val="9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4 - Accent 6"/>
    <w:basedOn w:val="9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1">
    <w:name w:val="List Table 5 Dark"/>
    <w:basedOn w:val="9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2">
    <w:name w:val="List Table 5 Dark - Accent 1"/>
    <w:basedOn w:val="9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3">
    <w:name w:val="List Table 5 Dark - Accent 2"/>
    <w:basedOn w:val="9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4">
    <w:name w:val="List Table 5 Dark - Accent 3"/>
    <w:basedOn w:val="9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5">
    <w:name w:val="List Table 5 Dark - Accent 4"/>
    <w:basedOn w:val="9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6">
    <w:name w:val="List Table 5 Dark - Accent 5"/>
    <w:basedOn w:val="9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7">
    <w:name w:val="List Table 5 Dark - Accent 6"/>
    <w:basedOn w:val="9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8">
    <w:name w:val="List Table 6 Colorful"/>
    <w:basedOn w:val="9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29">
    <w:name w:val="List Table 6 Colorful - Accent 1"/>
    <w:basedOn w:val="9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930">
    <w:name w:val="List Table 6 Colorful - Accent 2"/>
    <w:basedOn w:val="9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931">
    <w:name w:val="List Table 6 Colorful - Accent 3"/>
    <w:basedOn w:val="9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932">
    <w:name w:val="List Table 6 Colorful - Accent 4"/>
    <w:basedOn w:val="9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933">
    <w:name w:val="List Table 6 Colorful - Accent 5"/>
    <w:basedOn w:val="9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934">
    <w:name w:val="List Table 6 Colorful - Accent 6"/>
    <w:basedOn w:val="9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935">
    <w:name w:val="List Table 7 Colorful"/>
    <w:basedOn w:val="9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36">
    <w:name w:val="List Table 7 Colorful - Accent 1"/>
    <w:basedOn w:val="9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937">
    <w:name w:val="List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938">
    <w:name w:val="List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939">
    <w:name w:val="List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940">
    <w:name w:val="List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941">
    <w:name w:val="List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942">
    <w:name w:val="Lined - Accent"/>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3">
    <w:name w:val="Lined - Accent 1"/>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4">
    <w:name w:val="Lined - Accent 2"/>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5">
    <w:name w:val="Lined - Accent 3"/>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6">
    <w:name w:val="Lined - Accent 4"/>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7">
    <w:name w:val="Lined - Accent 5"/>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8">
    <w:name w:val="Lined - Accent 6"/>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9">
    <w:name w:val="Bordered &amp; Lined - Accent"/>
    <w:basedOn w:val="9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0">
    <w:name w:val="Bordered &amp; Lined - Accent 1"/>
    <w:basedOn w:val="9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1">
    <w:name w:val="Bordered &amp; Lined - Accent 2"/>
    <w:basedOn w:val="9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2">
    <w:name w:val="Bordered &amp; Lined - Accent 3"/>
    <w:basedOn w:val="9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3">
    <w:name w:val="Bordered &amp; Lined - Accent 4"/>
    <w:basedOn w:val="9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Bordered &amp; Lined - Accent 5"/>
    <w:basedOn w:val="9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Bordered &amp; Lined - Accent 6"/>
    <w:basedOn w:val="9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6">
    <w:name w:val="Bordered"/>
    <w:basedOn w:val="9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57">
    <w:name w:val="Bordered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58">
    <w:name w:val="Bordered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59">
    <w:name w:val="Bordered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60">
    <w:name w:val="Bordered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61">
    <w:name w:val="Bordered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62">
    <w:name w:val="Bordered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63">
    <w:name w:val="Footnote Text Char"/>
    <w:link w:val="984"/>
    <w:uiPriority w:val="99"/>
    <w:rPr>
      <w:sz w:val="18"/>
    </w:rPr>
  </w:style>
  <w:style w:type="character" w:styleId="964">
    <w:name w:val="Endnote Text Char"/>
    <w:link w:val="980"/>
    <w:uiPriority w:val="99"/>
    <w:rPr>
      <w:sz w:val="20"/>
    </w:rPr>
  </w:style>
  <w:style w:type="paragraph" w:styleId="965">
    <w:name w:val="toc 1"/>
    <w:basedOn w:val="975"/>
    <w:next w:val="975"/>
    <w:uiPriority w:val="39"/>
    <w:unhideWhenUsed/>
    <w:pPr>
      <w:ind w:left="0" w:right="0" w:firstLine="0"/>
      <w:spacing w:after="57"/>
    </w:pPr>
  </w:style>
  <w:style w:type="paragraph" w:styleId="966">
    <w:name w:val="toc 2"/>
    <w:basedOn w:val="975"/>
    <w:next w:val="975"/>
    <w:uiPriority w:val="39"/>
    <w:unhideWhenUsed/>
    <w:pPr>
      <w:ind w:left="283" w:right="0" w:firstLine="0"/>
      <w:spacing w:after="57"/>
    </w:pPr>
  </w:style>
  <w:style w:type="paragraph" w:styleId="967">
    <w:name w:val="toc 3"/>
    <w:basedOn w:val="975"/>
    <w:next w:val="975"/>
    <w:uiPriority w:val="39"/>
    <w:unhideWhenUsed/>
    <w:pPr>
      <w:ind w:left="567" w:right="0" w:firstLine="0"/>
      <w:spacing w:after="57"/>
    </w:pPr>
  </w:style>
  <w:style w:type="paragraph" w:styleId="968">
    <w:name w:val="toc 4"/>
    <w:basedOn w:val="975"/>
    <w:next w:val="975"/>
    <w:uiPriority w:val="39"/>
    <w:unhideWhenUsed/>
    <w:pPr>
      <w:ind w:left="850" w:right="0" w:firstLine="0"/>
      <w:spacing w:after="57"/>
    </w:pPr>
  </w:style>
  <w:style w:type="paragraph" w:styleId="969">
    <w:name w:val="toc 5"/>
    <w:basedOn w:val="975"/>
    <w:next w:val="975"/>
    <w:uiPriority w:val="39"/>
    <w:unhideWhenUsed/>
    <w:pPr>
      <w:ind w:left="1134" w:right="0" w:firstLine="0"/>
      <w:spacing w:after="57"/>
    </w:pPr>
  </w:style>
  <w:style w:type="paragraph" w:styleId="970">
    <w:name w:val="toc 6"/>
    <w:basedOn w:val="975"/>
    <w:next w:val="975"/>
    <w:uiPriority w:val="39"/>
    <w:unhideWhenUsed/>
    <w:pPr>
      <w:ind w:left="1417" w:right="0" w:firstLine="0"/>
      <w:spacing w:after="57"/>
    </w:pPr>
  </w:style>
  <w:style w:type="paragraph" w:styleId="971">
    <w:name w:val="toc 7"/>
    <w:basedOn w:val="975"/>
    <w:next w:val="975"/>
    <w:uiPriority w:val="39"/>
    <w:unhideWhenUsed/>
    <w:pPr>
      <w:ind w:left="1701" w:right="0" w:firstLine="0"/>
      <w:spacing w:after="57"/>
    </w:pPr>
  </w:style>
  <w:style w:type="paragraph" w:styleId="972">
    <w:name w:val="toc 8"/>
    <w:basedOn w:val="975"/>
    <w:next w:val="975"/>
    <w:uiPriority w:val="39"/>
    <w:unhideWhenUsed/>
    <w:pPr>
      <w:ind w:left="1984" w:right="0" w:firstLine="0"/>
      <w:spacing w:after="57"/>
    </w:pPr>
  </w:style>
  <w:style w:type="paragraph" w:styleId="973">
    <w:name w:val="toc 9"/>
    <w:basedOn w:val="975"/>
    <w:next w:val="975"/>
    <w:uiPriority w:val="39"/>
    <w:unhideWhenUsed/>
    <w:pPr>
      <w:ind w:left="2268" w:right="0" w:firstLine="0"/>
      <w:spacing w:after="57"/>
    </w:pPr>
  </w:style>
  <w:style w:type="paragraph" w:styleId="974">
    <w:name w:val="TOC Heading"/>
    <w:uiPriority w:val="39"/>
    <w:unhideWhenUsed/>
  </w:style>
  <w:style w:type="paragraph" w:styleId="975"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76">
    <w:name w:val="Heading 2"/>
    <w:basedOn w:val="975"/>
    <w:next w:val="975"/>
    <w:link w:val="992"/>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77" w:default="1">
    <w:name w:val="Default Paragraph Font"/>
    <w:qFormat/>
    <w:uiPriority w:val="0"/>
  </w:style>
  <w:style w:type="table" w:styleId="978" w:default="1">
    <w:name w:val="Normal Table"/>
    <w:qFormat/>
    <w:uiPriority w:val="0"/>
    <w:semiHidden/>
    <w:tblPr>
      <w:tblCellMar>
        <w:left w:w="108" w:type="dxa"/>
        <w:top w:w="0" w:type="dxa"/>
        <w:right w:w="108" w:type="dxa"/>
        <w:bottom w:w="0" w:type="dxa"/>
      </w:tblCellMar>
    </w:tblPr>
  </w:style>
  <w:style w:type="paragraph" w:styleId="979">
    <w:name w:val="Date"/>
    <w:basedOn w:val="975"/>
    <w:next w:val="975"/>
    <w:qFormat/>
    <w:uiPriority w:val="0"/>
    <w:pPr>
      <w:ind w:left="100"/>
    </w:pPr>
  </w:style>
  <w:style w:type="paragraph" w:styleId="980">
    <w:name w:val="endnote text"/>
    <w:basedOn w:val="975"/>
    <w:link w:val="993"/>
    <w:qFormat/>
    <w:uiPriority w:val="0"/>
    <w:pPr>
      <w:jc w:val="left"/>
    </w:pPr>
  </w:style>
  <w:style w:type="paragraph" w:styleId="981">
    <w:name w:val="Balloon Text"/>
    <w:basedOn w:val="975"/>
    <w:qFormat/>
    <w:uiPriority w:val="0"/>
    <w:rPr>
      <w:sz w:val="18"/>
      <w:szCs w:val="18"/>
    </w:rPr>
  </w:style>
  <w:style w:type="paragraph" w:styleId="982">
    <w:name w:val="Footer"/>
    <w:basedOn w:val="975"/>
    <w:link w:val="994"/>
    <w:qFormat/>
    <w:uiPriority w:val="99"/>
    <w:rPr>
      <w:sz w:val="18"/>
      <w:szCs w:val="18"/>
    </w:rPr>
    <w:pPr>
      <w:jc w:val="left"/>
      <w:tabs>
        <w:tab w:val="center" w:pos="4153" w:leader="none"/>
        <w:tab w:val="right" w:pos="8306" w:leader="none"/>
      </w:tabs>
    </w:pPr>
  </w:style>
  <w:style w:type="paragraph" w:styleId="983">
    <w:name w:val="Header"/>
    <w:basedOn w:val="975"/>
    <w:link w:val="995"/>
    <w:qFormat/>
    <w:uiPriority w:val="99"/>
    <w:rPr>
      <w:sz w:val="18"/>
      <w:szCs w:val="18"/>
    </w:rPr>
    <w:pPr>
      <w:jc w:val="center"/>
      <w:tabs>
        <w:tab w:val="center" w:pos="4153" w:leader="none"/>
        <w:tab w:val="right" w:pos="8306" w:leader="none"/>
      </w:tabs>
      <w:pBdr>
        <w:bottom w:val="single" w:sz="6" w:space="1" w:color="auto"/>
      </w:pBdr>
    </w:pPr>
  </w:style>
  <w:style w:type="paragraph" w:styleId="984">
    <w:name w:val="footnote text"/>
    <w:basedOn w:val="975"/>
    <w:link w:val="996"/>
    <w:qFormat/>
    <w:uiPriority w:val="0"/>
    <w:rPr>
      <w:sz w:val="18"/>
      <w:szCs w:val="18"/>
    </w:rPr>
    <w:pPr>
      <w:jc w:val="left"/>
    </w:pPr>
  </w:style>
  <w:style w:type="paragraph" w:styleId="985">
    <w:name w:val="HTML Preformatted"/>
    <w:basedOn w:val="975"/>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86">
    <w:name w:val="Normal (Web)"/>
    <w:basedOn w:val="975"/>
    <w:qFormat/>
    <w:uiPriority w:val="0"/>
    <w:rPr>
      <w:sz w:val="24"/>
      <w:lang w:val="en-US" w:bidi="ar" w:eastAsia="zh-CN"/>
    </w:rPr>
    <w:pPr>
      <w:ind w:left="0" w:right="0"/>
      <w:jc w:val="left"/>
      <w:spacing w:after="100" w:afterAutospacing="1" w:before="100" w:beforeAutospacing="1"/>
    </w:pPr>
  </w:style>
  <w:style w:type="character" w:styleId="987">
    <w:name w:val="endnote reference"/>
    <w:qFormat/>
    <w:uiPriority w:val="0"/>
    <w:rPr>
      <w:vertAlign w:val="superscript"/>
    </w:rPr>
  </w:style>
  <w:style w:type="character" w:styleId="988">
    <w:name w:val="page number"/>
    <w:qFormat/>
    <w:uiPriority w:val="99"/>
    <w:unhideWhenUsed/>
    <w:rPr>
      <w:rFonts w:cs="Times New Roman" w:eastAsia="宋体"/>
      <w:sz w:val="22"/>
      <w:szCs w:val="22"/>
      <w:lang w:eastAsia="zh-CN"/>
    </w:rPr>
  </w:style>
  <w:style w:type="character" w:styleId="989">
    <w:name w:val="Hyperlink"/>
    <w:qFormat/>
    <w:uiPriority w:val="0"/>
    <w:rPr>
      <w:color w:val="0000FF"/>
      <w:u w:val="single"/>
    </w:rPr>
  </w:style>
  <w:style w:type="character" w:styleId="990">
    <w:name w:val="footnote reference"/>
    <w:qFormat/>
    <w:uiPriority w:val="0"/>
    <w:rPr>
      <w:vertAlign w:val="superscript"/>
    </w:rPr>
  </w:style>
  <w:style w:type="table" w:styleId="991">
    <w:name w:val="Table Grid"/>
    <w:basedOn w:val="978"/>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2" w:customStyle="1">
    <w:name w:val="标题 2 Char"/>
    <w:link w:val="976"/>
    <w:qFormat/>
    <w:uiPriority w:val="0"/>
    <w:rPr>
      <w:rFonts w:ascii="Arial" w:hAnsi="Arial" w:eastAsia="黑体"/>
      <w:b/>
      <w:bCs/>
      <w:sz w:val="32"/>
      <w:szCs w:val="32"/>
    </w:rPr>
  </w:style>
  <w:style w:type="character" w:styleId="993" w:customStyle="1">
    <w:name w:val="尾注文本 Char"/>
    <w:link w:val="980"/>
    <w:qFormat/>
    <w:uiPriority w:val="0"/>
    <w:rPr>
      <w:sz w:val="21"/>
      <w:szCs w:val="24"/>
    </w:rPr>
  </w:style>
  <w:style w:type="character" w:styleId="994" w:customStyle="1">
    <w:name w:val="页脚 Char"/>
    <w:link w:val="982"/>
    <w:qFormat/>
    <w:uiPriority w:val="99"/>
    <w:rPr>
      <w:sz w:val="18"/>
      <w:szCs w:val="18"/>
    </w:rPr>
  </w:style>
  <w:style w:type="character" w:styleId="995" w:customStyle="1">
    <w:name w:val="页眉 Char"/>
    <w:link w:val="983"/>
    <w:qFormat/>
    <w:uiPriority w:val="99"/>
    <w:rPr>
      <w:sz w:val="18"/>
      <w:szCs w:val="18"/>
    </w:rPr>
  </w:style>
  <w:style w:type="character" w:styleId="996" w:customStyle="1">
    <w:name w:val="脚注文本 Char"/>
    <w:link w:val="984"/>
    <w:qFormat/>
    <w:uiPriority w:val="0"/>
    <w:rPr>
      <w:sz w:val="18"/>
      <w:szCs w:val="18"/>
    </w:rPr>
  </w:style>
  <w:style w:type="numbering" w:styleId="99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5</cp:revision>
  <dcterms:created xsi:type="dcterms:W3CDTF">2020-04-14T17:46:00Z</dcterms:created>
  <dcterms:modified xsi:type="dcterms:W3CDTF">2022-04-18T00:42:02Z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