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冀A2288C</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井陉县和泰运输有限公司</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冀A2288C解放牌CA4250P66K2T1E5重型半挂牵引车车损评估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2022年03月05日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2022年03月28日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57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冀A2288C</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LFWSRXPJ2H1F08831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18522678382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井陉县和泰运输有限公司</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冀A2288C</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解放牌CA4250P66K2T1E5</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LFWSRXPJ2H1F08831</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52798267</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2017年02月28日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2021年11月25日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1、天津市蓟州区人民法院委托书（2022津0119诉前鉴第233号）；</w:t>
      </w:r>
      <w:r/>
      <w:r>
        <w:rPr>
          <w:sz w:val="30"/>
        </w:rPr>
        <w:rPr>
          <w:rFonts w:eastAsia="宋体" w:ascii="宋体"/>
        </w:rPr>
        <w:br/>
        <w:t>2、委托协议/合同（津元丰泉鉴估字2022第0007号）；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线上接到天津市蓟州区人民法院委托后，我司随即与当事人双方联系并约定鉴定时间，经约定在2022年3月5日对标的物进行鉴定评估，同时快递告知函通知被告相关鉴定时间及地点等信息；</w:t>
      </w:r>
      <w:r/>
      <w:r>
        <w:rPr>
          <w:sz w:val="30"/>
        </w:rPr>
        <w:rPr>
          <w:rFonts w:eastAsia="宋体" w:ascii="宋体"/>
        </w:rPr>
        <w:br/>
        <w:t>事故认定书记载2021年11月25日在津围公路与逆向行驶车辆发生碰撞的交通事故，事故中无责任；</w:t>
      </w:r>
      <w:r>
        <w:rPr>
          <w:sz w:val="30"/>
        </w:rPr>
        <w:rPr>
          <w:rFonts w:eastAsia="宋体" w:ascii="宋体"/>
        </w:rPr>
        <w:br/>
        <w:t>因营运车辆，事故发生后车辆已及时进行维修并正常使用，故评估时点定于事故发生日期；</w:t>
      </w:r>
      <w:r>
        <w:rPr>
          <w:sz w:val="30"/>
        </w:rPr>
        <w:rPr>
          <w:rFonts w:eastAsia="宋体" w:ascii="宋体"/>
        </w:rPr>
        <w:br/>
        <w:t>鉴定工作中当事双方均到场共同参与鉴定工作，对鉴定程序均认可；</w:t>
      </w:r>
      <w:r>
        <w:rPr>
          <w:sz w:val="30"/>
        </w:rPr>
        <w:rPr>
          <w:rFonts w:eastAsia="宋体" w:ascii="宋体"/>
        </w:rPr>
        <w:br/>
        <w:t>车辆前部及底部均有不同程度的损坏，我司鉴定评估人员对相关损失进行拍照取证；取得相关损失证据后，我司对相关配件损失进行核对，确认实际损失后进行市场调研相关价格；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46880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肆万陆仟捌佰捌拾元整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6</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2023年03月27日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2022-03-02T01:40:45Z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