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Hans"/>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Hans"/>
        </w:rPr>
      </w:r>
      <w:r/>
    </w:p>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CN"/>
        </w:rPr>
      </w:r>
      <w:r/>
    </w:p>
    <w:p>
      <w:pPr>
        <w:jc w:val="center"/>
        <w:keepLines w:val="false"/>
        <w:keepNext w:val="false"/>
        <w:widowControl/>
        <w:rPr>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jc w:val="center"/>
        <w:keepLines w:val="false"/>
        <w:keepNext w:val="false"/>
        <w:pageBreakBefore w:val="false"/>
        <w:spacing w:lineRule="auto" w:line="360"/>
        <w:rPr>
          <w:b/>
          <w:bCs/>
          <w:color w:val="auto"/>
          <w:sz w:val="52"/>
        </w:rPr>
        <w:outlineLvl w:val="9"/>
      </w:pPr>
      <w:r>
        <w:rPr>
          <w:b/>
          <w:bCs/>
          <w:color w:val="auto"/>
          <w:sz w:val="52"/>
        </w:rPr>
      </w:r>
      <w:r/>
    </w:p>
    <w:p>
      <w:pPr>
        <w:ind w:left="0" w:right="0"/>
        <w:jc w:val="center"/>
        <w:keepLines w:val="false"/>
        <w:keepNext w:val="false"/>
        <w:pageBreakBefore w:val="false"/>
        <w:spacing w:lineRule="auto" w:line="360"/>
        <w:rPr>
          <w:b/>
          <w:bCs/>
          <w:color w:val="auto"/>
          <w:sz w:val="52"/>
        </w:rPr>
        <w:outlineLvl w:val="9"/>
      </w:pPr>
      <w:r>
        <w:rPr>
          <w:rFonts w:hint="eastAsia"/>
          <w:b/>
          <w:bCs/>
          <w:color w:val="auto"/>
          <w:sz w:val="52"/>
        </w:rPr>
        <w:t xml:space="preserve">车辆评估报告书</w:t>
      </w:r>
      <w:r/>
    </w:p>
    <w:p>
      <w:pPr>
        <w:ind w:left="0" w:right="0"/>
        <w:keepLines w:val="false"/>
        <w:keepNext w:val="false"/>
        <w:pageBreakBefore w:val="false"/>
        <w:spacing w:lineRule="auto" w:line="360"/>
        <w:rPr>
          <w:color w:val="auto"/>
          <w:sz w:val="32"/>
        </w:rPr>
        <w:outlineLvl w:val="9"/>
      </w:pPr>
      <w:r>
        <w:rPr>
          <w:color w:val="auto"/>
          <w:sz w:val="32"/>
        </w:rPr>
      </w:r>
      <w:r/>
    </w:p>
    <w:p>
      <w:pPr>
        <w:jc w:val="center"/>
        <w:keepLines w:val="false"/>
        <w:keepNext w:val="false"/>
        <w:widowControl/>
        <w:rPr>
          <w:color w:val="auto"/>
          <w:sz w:val="32"/>
        </w:rPr>
        <w:suppressLineNumbers w:val="0"/>
      </w:pPr>
      <w:r>
        <w:rPr>
          <w:rFonts w:hint="eastAsia"/>
          <w:color w:val="auto"/>
          <w:sz w:val="32"/>
        </w:rPr>
        <w:t xml:space="preserve">辽鑫宏成涉车报字（</w:t>
      </w:r>
      <w:r>
        <w:rPr>
          <w:rFonts w:ascii="宋体" w:eastAsia="宋体"/>
          <w:b w:val="false"/>
          <w:i w:val="false"/>
          <w:caps w:val="false"/>
          <w:color w:val="333333"/>
          <w:spacing w:val="0"/>
          <w:sz w:val="32"/>
          <w:szCs w:val="32"/>
          <w:u w:val="none"/>
          <w:shd w:val="nil" w:color="auto" w:fill="auto"/>
          <w:lang w:val="en-US" w:bidi="ar" w:eastAsia="zh-CN"/>
        </w:rPr>
        <w:t xml:space="preserve">2020</w:t>
      </w:r>
      <w:r>
        <w:rPr>
          <w:rFonts w:hint="eastAsia"/>
          <w:color w:val="auto"/>
          <w:sz w:val="32"/>
        </w:rPr>
        <w:t xml:space="preserve">）第</w:t>
      </w:r>
      <w:r>
        <w:rPr>
          <w:rFonts w:ascii="宋体" w:eastAsia="宋体"/>
          <w:b w:val="false"/>
          <w:i w:val="false"/>
          <w:caps w:val="false"/>
          <w:color w:val="333333"/>
          <w:spacing w:val="0"/>
          <w:sz w:val="32"/>
          <w:szCs w:val="32"/>
          <w:u w:val="none"/>
          <w:shd w:val="nil" w:color="auto" w:fill="auto"/>
          <w:lang w:val="en-US" w:bidi="ar" w:eastAsia="zh-CN"/>
        </w:rPr>
        <w:t xml:space="preserve">0019</w:t>
      </w:r>
      <w:r>
        <w:rPr>
          <w:rFonts w:hint="eastAsia"/>
          <w:color w:val="auto"/>
          <w:sz w:val="32"/>
        </w:rPr>
        <w:t xml:space="preserve">号</w:t>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jc w:val="center"/>
        <w:keepLines w:val="false"/>
        <w:keepNext w:val="false"/>
        <w:pageBreakBefore w:val="false"/>
        <w:spacing w:lineRule="auto" w:line="360"/>
        <w:rPr>
          <w:color w:val="auto"/>
          <w:sz w:val="32"/>
        </w:rPr>
        <w:outlineLvl w:val="9"/>
      </w:pPr>
      <w:r>
        <w:rPr>
          <w:rFonts w:hint="eastAsia"/>
          <w:color w:val="auto"/>
          <w:sz w:val="32"/>
        </w:rPr>
        <w:t xml:space="preserve">辽宁鑫宏成机动车鉴定评估有限公司</w:t>
      </w:r>
      <w:r/>
    </w:p>
    <w:p>
      <w:pPr>
        <w:jc w:val="center"/>
        <w:keepLines w:val="false"/>
        <w:keepNext w:val="false"/>
        <w:widowControl/>
        <w:rPr>
          <w:color w:val="auto"/>
          <w:sz w:val="32"/>
        </w:rPr>
        <w:suppressLineNumbers w:val="0"/>
      </w:pPr>
      <w:r>
        <w:rPr>
          <w:rFonts w:hint="eastAsia"/>
          <w:color w:val="auto"/>
          <w:sz w:val="32"/>
        </w:rPr>
        <w:t xml:space="preserve">提交报告日期：</w:t>
      </w:r>
      <w:r>
        <w:rPr>
          <w:rFonts w:ascii="宋体" w:eastAsia="宋体"/>
          <w:b w:val="false"/>
          <w:i w:val="false"/>
          <w:caps w:val="false"/>
          <w:color w:val="333333"/>
          <w:spacing w:val="0"/>
          <w:sz w:val="32"/>
          <w:szCs w:val="32"/>
          <w:u w:val="none"/>
          <w:shd w:val="nil" w:color="auto" w:fill="auto"/>
          <w:lang w:val="en-US" w:bidi="ar" w:eastAsia="zh-CN"/>
        </w:rPr>
        <w:t xml:space="preserve">2020年10月10日</w:t>
      </w:r>
      <w:r/>
    </w:p>
    <w:p>
      <w:pPr>
        <w:ind w:left="0" w:right="0" w:firstLine="1500"/>
        <w:keepLines w:val="false"/>
        <w:keepNext w:val="false"/>
        <w:pageBreakBefore w:val="false"/>
        <w:spacing w:lineRule="auto" w:line="360"/>
        <w:rPr>
          <w:color w:val="auto"/>
          <w:sz w:val="30"/>
        </w:rPr>
        <w:outlineLvl w:val="9"/>
      </w:pPr>
      <w:r>
        <w:rPr>
          <w:color w:val="auto"/>
          <w:sz w:val="30"/>
        </w:rPr>
      </w:r>
      <w:r/>
    </w:p>
    <w:p>
      <w:pPr>
        <w:ind w:left="0" w:right="0"/>
        <w:keepLines w:val="false"/>
        <w:keepNext w:val="false"/>
        <w:pageBreakBefore w:val="false"/>
        <w:spacing w:lineRule="auto" w:line="360"/>
        <w:rPr>
          <w:color w:val="auto"/>
          <w:sz w:val="30"/>
        </w:rPr>
        <w:outlineLvl w:val="9"/>
      </w:pPr>
      <w:r>
        <w:rPr>
          <w:color w:val="auto"/>
          <w:sz w:val="30"/>
        </w:rPr>
      </w:r>
      <w:r/>
    </w:p>
    <w:p>
      <w:pPr>
        <w:ind w:left="0" w:right="0" w:firstLine="1257"/>
        <w:keepLines w:val="false"/>
        <w:keepNext w:val="false"/>
        <w:pageBreakBefore w:val="false"/>
        <w:spacing w:lineRule="auto" w:line="360"/>
        <w:rPr>
          <w:rFonts w:hint="eastAsia"/>
          <w:color w:val="auto"/>
          <w:sz w:val="32"/>
        </w:rPr>
        <w:outlineLvl w:val="9"/>
      </w:pPr>
      <w:r>
        <w:rPr>
          <w:rFonts w:hint="eastAsia"/>
          <w:color w:val="auto"/>
          <w:sz w:val="32"/>
        </w:rPr>
        <w:t xml:space="preserve"> </w:t>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firstLine="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firstLine="0"/>
        <w:jc w:val="center"/>
        <w:keepLines w:val="false"/>
        <w:keepNext w:val="false"/>
        <w:pageBreakBefore w:val="false"/>
        <w:spacing w:lineRule="auto" w:line="360"/>
        <w:rPr>
          <w:b/>
          <w:bCs/>
          <w:color w:val="auto"/>
          <w:sz w:val="32"/>
        </w:rPr>
        <w:outlineLvl w:val="9"/>
      </w:pPr>
      <w:r>
        <w:rPr>
          <w:rFonts w:hint="eastAsia"/>
          <w:b/>
          <w:bCs/>
          <w:color w:val="auto"/>
          <w:sz w:val="32"/>
        </w:rPr>
        <w:t xml:space="preserve">车辆评估报告书摘要</w:t>
      </w:r>
      <w:r/>
    </w:p>
    <w:p>
      <w:pPr>
        <w:ind w:left="0" w:right="0" w:firstLine="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辽宁鑫宏成机动车鉴定评估有限公司接受李慧的委托，本着客观、独立、公正、科学的原则，按照公认的事故车辆评估方法，对事故车辆</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车进行了评估工作。本评估机构评估人员按照必要的评估程序对委托评估的事故车辆实施了实地勘查、市场调查与询证，对指定评估的车辆在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经过评估，指定评估车辆在评估基准日假设按现有用途继续使用、公开市场条件下车辆损失为人民币</w:t>
      </w:r>
      <w:r>
        <w:rPr>
          <w:rFonts w:ascii="宋体" w:eastAsia="宋体"/>
          <w:b w:val="false"/>
          <w:i w:val="false"/>
          <w:caps w:val="false"/>
          <w:color w:val="FF0000"/>
          <w:spacing w:val="0"/>
          <w:sz w:val="24"/>
          <w:szCs w:val="32"/>
          <w:u w:val="none"/>
          <w:shd w:val="nil" w:color="auto" w:fill="auto"/>
          <w:lang w:val="en-US" w:bidi="ar" w:eastAsia="zh-CN"/>
        </w:rPr>
        <w:t xml:space="preserve">壹拾玖元整</w:t>
      </w:r>
      <w:r>
        <w:rPr>
          <w:rFonts w:hint="eastAsia"/>
          <w:color w:val="auto"/>
          <w:sz w:val="24"/>
        </w:rPr>
        <w:t xml:space="preserve">（￥</w:t>
      </w:r>
      <w:r>
        <w:rPr>
          <w:rFonts w:ascii="宋体" w:eastAsia="宋体"/>
          <w:b w:val="false"/>
          <w:i w:val="false"/>
          <w:caps w:val="false"/>
          <w:color w:val="FF0000"/>
          <w:spacing w:val="0"/>
          <w:sz w:val="24"/>
          <w:szCs w:val="32"/>
          <w:u w:val="none"/>
          <w:shd w:val="nil" w:color="auto" w:fill="auto"/>
          <w:lang w:val="en-US" w:bidi="ar" w:eastAsia="zh-CN"/>
        </w:rPr>
        <w:t xml:space="preserve">19</w:t>
      </w:r>
      <w:r>
        <w:rPr>
          <w:rFonts w:hint="eastAsia"/>
          <w:color w:val="auto"/>
          <w:sz w:val="24"/>
        </w:rPr>
        <w:t xml:space="preserve">）</w:t>
      </w:r>
      <w:r/>
    </w:p>
    <w:p>
      <w:pPr>
        <w:ind w:left="0" w:right="0" w:firstLine="480"/>
        <w:jc w:val="left"/>
        <w:keepLines w:val="false"/>
        <w:keepNext w:val="false"/>
        <w:pageBreakBefore w:val="false"/>
        <w:spacing w:lineRule="auto" w:line="360"/>
        <w:rPr>
          <w:color w:val="auto"/>
          <w:sz w:val="24"/>
        </w:rPr>
        <w:outlineLvl w:val="9"/>
      </w:pPr>
      <w:r>
        <w:rPr>
          <w:rFonts w:hint="eastAsia"/>
          <w:color w:val="auto"/>
          <w:sz w:val="24"/>
        </w:rPr>
        <w:t xml:space="preserve">以上内容摘自车辆评估报告书，欲了解本评估项目的全面情况，应认真阅读车辆评估报告书全文。</w:t>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辽宁鑫宏成机动车鉴定评估有限公司</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法定代表人：聂振宇 </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项目负责人：中国注册二手车鉴定估价师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项目复核人：中国注册高级二手车鉴定估价师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897"/>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rPr>
          <w:rFonts w:hint="eastAsia"/>
          <w:color w:val="auto"/>
          <w:sz w:val="24"/>
        </w:rPr>
        <w:t xml:space="preserve"> </w:t>
      </w:r>
      <w:r/>
    </w:p>
    <w:p>
      <w:pPr>
        <w:rPr>
          <w:color w:val="auto"/>
          <w:sz w:val="32"/>
        </w:rPr>
      </w:pPr>
      <w:r>
        <w:rPr>
          <w:color w:val="auto"/>
          <w:sz w:val="32"/>
        </w:rPr>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评估项目</w:t>
      </w:r>
      <w:r/>
    </w:p>
    <w:p>
      <w:pPr>
        <w:ind w:left="0" w:right="0" w:firstLine="0"/>
        <w:jc w:val="center"/>
        <w:keepLines w:val="false"/>
        <w:keepNext w:val="false"/>
        <w:pageBreakBefore w:val="false"/>
        <w:spacing w:lineRule="auto" w:line="360"/>
        <w:rPr>
          <w:color w:val="auto"/>
          <w:sz w:val="32"/>
        </w:rPr>
        <w:outlineLvl w:val="9"/>
      </w:pPr>
      <w:r>
        <w:rPr>
          <w:rFonts w:hint="eastAsia"/>
          <w:b/>
          <w:bCs/>
          <w:color w:val="auto"/>
          <w:sz w:val="32"/>
        </w:rPr>
        <w:t xml:space="preserve">车辆评估报告书</w:t>
      </w:r>
      <w:r/>
    </w:p>
    <w:p>
      <w:pPr>
        <w:ind w:left="0" w:right="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   </w:t>
      </w:r>
      <w:r/>
    </w:p>
    <w:p>
      <w:pPr>
        <w:ind w:left="0" w:right="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辽宁鑫宏成机动车鉴定评估有限公司接受</w:t>
      </w:r>
      <w:r>
        <w:rPr>
          <w:rFonts w:ascii="宋体" w:eastAsia="宋体"/>
          <w:color w:val="auto"/>
          <w:sz w:val="30"/>
          <w:shd w:val="nil" w:color="auto" w:fill="auto"/>
          <w:lang w:val="en-US" w:eastAsia="zh-CN"/>
        </w:rPr>
        <w:t xml:space="preserve">委托方A</w:t>
      </w:r>
      <w:r>
        <w:rPr>
          <w:rFonts w:hint="eastAsia"/>
          <w:color w:val="auto"/>
          <w:sz w:val="24"/>
        </w:rPr>
        <w:t xml:space="preserve">的委托，本着客观、独立、公正、科学的原则，按照公认的事故车辆评估方法，对事故车</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事故所造成的车辆损失作出公允反映。现将车辆评估情况及评估结果报告如下：</w:t>
      </w:r>
      <w:r/>
    </w:p>
    <w:p>
      <w:pPr>
        <w:numPr>
          <w:ilvl w:val="0"/>
          <w:numId w:val="1"/>
        </w:numPr>
        <w:ind w:left="0" w:right="0" w:firstLine="0"/>
        <w:keepLines w:val="false"/>
        <w:keepNext w:val="false"/>
        <w:pageBreakBefore w:val="false"/>
        <w:spacing w:lineRule="auto" w:line="360"/>
        <w:tabs>
          <w:tab w:val="left" w:pos="0" w:leader="none"/>
          <w:tab w:val="clear" w:pos="960" w:leader="none"/>
        </w:tabs>
        <w:rPr>
          <w:color w:val="auto"/>
          <w:sz w:val="24"/>
        </w:rPr>
        <w:outlineLvl w:val="9"/>
      </w:pPr>
      <w:r>
        <w:rPr>
          <w:rFonts w:hint="eastAsia"/>
          <w:color w:val="auto"/>
          <w:sz w:val="24"/>
        </w:rPr>
        <w:t xml:space="preserve">委托评估方与车辆占有方简介</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委托评估方：</w:t>
      </w:r>
      <w:r>
        <w:rPr>
          <w:rFonts w:ascii="宋体" w:eastAsia="宋体"/>
          <w:b w:val="false"/>
          <w:i w:val="false"/>
          <w:caps w:val="false"/>
          <w:color w:val="333333"/>
          <w:spacing w:val="0"/>
          <w:sz w:val="24"/>
          <w:szCs w:val="32"/>
          <w:u w:val="none"/>
          <w:shd w:val="nil" w:color="auto" w:fill="auto"/>
          <w:lang w:val="en-US" w:bidi="ar" w:eastAsia="zh-CN"/>
        </w:rPr>
        <w:t xml:space="preserve">委托方A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车辆占有方：</w:t>
      </w:r>
      <w:r>
        <w:rPr>
          <w:rFonts w:ascii="宋体" w:eastAsia="宋体"/>
          <w:b w:val="false"/>
          <w:i w:val="false"/>
          <w:caps w:val="false"/>
          <w:color w:val="333333"/>
          <w:spacing w:val="0"/>
          <w:sz w:val="24"/>
          <w:szCs w:val="32"/>
          <w:u w:val="none"/>
          <w:shd w:val="nil" w:color="auto" w:fill="auto"/>
          <w:lang w:val="en-US" w:bidi="ar" w:eastAsia="zh-CN"/>
        </w:rPr>
        <w:t xml:space="preserve">所有人A</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二、评估目的 </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本次评估，为了满足委托方的需要，评估</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车辆因事故所造成的车辆损失。</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三、评估范围和对象</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本次评估范围为委托评估方指定的</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车辆评估对象（事故车辆）具体概况如下：</w:t>
      </w:r>
      <w:r/>
    </w:p>
    <w:p>
      <w:pPr>
        <w:ind w:left="0" w:right="0" w:firstLine="419"/>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车牌号码：</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车辆类型：</w:t>
      </w:r>
      <w:r>
        <w:rPr>
          <w:rFonts w:ascii="宋体" w:eastAsia="宋体"/>
          <w:b w:val="false"/>
          <w:i w:val="false"/>
          <w:caps w:val="false"/>
          <w:color w:val="333333"/>
          <w:spacing w:val="0"/>
          <w:sz w:val="24"/>
          <w:szCs w:val="32"/>
          <w:u w:val="none"/>
          <w:shd w:val="nil" w:color="auto" w:fill="auto"/>
          <w:lang w:val="en-US" w:bidi="ar" w:eastAsia="zh-CN"/>
        </w:rPr>
        <w:t xml:space="preserve">车辆类型A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宋体" w:eastAsia="宋体"/>
          <w:b w:val="false"/>
          <w:i w:val="false"/>
          <w:caps w:val="false"/>
          <w:color w:val="333333"/>
          <w:spacing w:val="0"/>
          <w:sz w:val="24"/>
          <w:szCs w:val="32"/>
          <w:u w:val="none"/>
          <w:shd w:val="nil" w:color="auto" w:fill="auto"/>
          <w:lang w:val="en-US" w:bidi="ar" w:eastAsia="zh-CN"/>
        </w:rPr>
        <w:t xml:space="preserve">所有人A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发动机号：</w:t>
      </w:r>
      <w:r>
        <w:rPr>
          <w:rFonts w:ascii="宋体" w:eastAsia="宋体"/>
          <w:b w:val="false"/>
          <w:i w:val="false"/>
          <w:caps w:val="false"/>
          <w:color w:val="333333"/>
          <w:spacing w:val="0"/>
          <w:sz w:val="24"/>
          <w:szCs w:val="32"/>
          <w:u w:val="none"/>
          <w:shd w:val="nil" w:color="auto" w:fill="auto"/>
          <w:lang w:val="en-US" w:bidi="ar" w:eastAsia="zh-CN"/>
        </w:rPr>
        <w:t xml:space="preserve">发动机号A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宋体" w:eastAsia="宋体"/>
          <w:b w:val="false"/>
          <w:i w:val="false"/>
          <w:caps w:val="false"/>
          <w:color w:val="333333"/>
          <w:spacing w:val="0"/>
          <w:sz w:val="24"/>
          <w:szCs w:val="32"/>
          <w:u w:val="none"/>
          <w:shd w:val="nil" w:color="auto" w:fill="auto"/>
          <w:lang w:val="en-US" w:bidi="ar" w:eastAsia="zh-CN"/>
        </w:rPr>
        <w:t xml:space="preserve">车辆识别码A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登记时间：</w:t>
      </w:r>
      <w:r>
        <w:rPr>
          <w:rFonts w:ascii="宋体" w:eastAsia="宋体"/>
          <w:b w:val="false"/>
          <w:i w:val="false"/>
          <w:caps w:val="false"/>
          <w:color w:val="333333"/>
          <w:spacing w:val="0"/>
          <w:sz w:val="24"/>
          <w:szCs w:val="32"/>
          <w:u w:val="none"/>
          <w:shd w:val="nil" w:color="auto" w:fill="auto"/>
          <w:lang w:val="en-US" w:bidi="ar" w:eastAsia="zh-CN"/>
        </w:rPr>
        <w:t xml:space="preserve">2020年10月09日</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br w:type="page"/>
      </w:r>
      <w:r/>
    </w:p>
    <w:p>
      <w:pPr>
        <w:ind w:left="0" w:right="0" w:firstLine="420"/>
        <w:jc w:val="left"/>
        <w:keepLines w:val="false"/>
        <w:keepNext w:val="false"/>
        <w:pageBreakBefore w:val="false"/>
        <w:spacing w:lineRule="auto" w:line="360"/>
        <w:widowControl/>
        <w:rPr>
          <w:color w:val="auto"/>
          <w:sz w:val="24"/>
        </w:rPr>
        <w:suppressLineNumbers w:val="0"/>
      </w:pPr>
      <w:r>
        <w:rPr>
          <w:color w:val="auto"/>
          <w:sz w:val="24"/>
        </w:rPr>
      </w:r>
      <w:r/>
    </w:p>
    <w:p>
      <w:pPr>
        <w:ind w:left="0" w:right="0" w:firstLine="420"/>
        <w:jc w:val="left"/>
        <w:keepLines w:val="false"/>
        <w:keepNext w:val="false"/>
        <w:pageBreakBefore w:val="false"/>
        <w:spacing w:lineRule="auto" w:line="360"/>
        <w:widowControl/>
        <w:rPr>
          <w:rFonts w:eastAsia="宋体" w:hint="default"/>
          <w:color w:val="auto"/>
          <w:sz w:val="24"/>
          <w:lang w:val="en-US" w:eastAsia="zh-CN"/>
        </w:rPr>
        <w:suppressLineNumbers w:val="0"/>
      </w:pPr>
      <w:r>
        <w:rPr>
          <w:color w:val="auto"/>
          <w:sz w:val="24"/>
        </w:rPr>
      </w:r>
      <w:r>
        <w:rPr>
          <w:rFonts w:hint="eastAsia"/>
          <w:color w:val="auto"/>
          <w:sz w:val="24"/>
        </w:rPr>
        <w:t xml:space="preserve">现场勘察：</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，发生事故时使用</w:t>
      </w:r>
      <w:r>
        <w:rPr>
          <w:rFonts w:ascii="宋体" w:eastAsia="宋体"/>
          <w:b w:val="false"/>
          <w:i w:val="false"/>
          <w:caps w:val="false"/>
          <w:color w:val="333333"/>
          <w:spacing w:val="0"/>
          <w:sz w:val="24"/>
          <w:szCs w:val="32"/>
          <w:u w:val="none"/>
          <w:shd w:val="nil" w:color="auto" w:fill="auto"/>
          <w:lang w:val="en-US" w:bidi="ar" w:eastAsia="zh-CN"/>
        </w:rPr>
        <w:t xml:space="preserve">0</w:t>
      </w:r>
      <w:r>
        <w:rPr>
          <w:rFonts w:hint="eastAsia"/>
          <w:color w:val="auto"/>
          <w:sz w:val="24"/>
        </w:rPr>
        <w:t xml:space="preserve">个月，属于旧机动车，事故造成的损失仅维修费用预计</w:t>
      </w:r>
      <w:r>
        <w:rPr>
          <w:rFonts w:ascii="宋体" w:eastAsia="宋体"/>
          <w:b w:val="false"/>
          <w:i w:val="false"/>
          <w:caps w:val="false"/>
          <w:color w:val="FF0000"/>
          <w:spacing w:val="0"/>
          <w:sz w:val="24"/>
          <w:szCs w:val="32"/>
          <w:u w:val="none"/>
          <w:shd w:val="nil" w:color="auto" w:fill="auto"/>
          <w:lang w:val="en-US" w:bidi="ar" w:eastAsia="zh-CN"/>
        </w:rPr>
        <w:t xml:space="preserve">0.0019</w:t>
      </w:r>
      <w:r>
        <w:rPr>
          <w:rFonts w:hint="eastAsia"/>
          <w:color w:val="auto"/>
          <w:sz w:val="24"/>
        </w:rPr>
        <w:t xml:space="preserve">万余元，评估时车辆尚未修复，继续使用价值较大。</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本次评估，纳入评估范围的车辆与委托评估方指定评估的车辆范围一致。</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四、评估基准日</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经双方协商确定本项目事故车辆评估基准日为事故发生日即</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本项目事故车辆评估基准日确定的理由为：</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该评估的基准日确定为事故发生日，以评估因事故造成的车辆损失。</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评估中所采用的价格标准均为评估基准日有效的价格标准。</w:t>
      </w:r>
      <w:r/>
    </w:p>
    <w:p>
      <w:pPr>
        <w:ind w:left="0" w:right="0" w:firstLine="0"/>
        <w:keepLines w:val="false"/>
        <w:keepNext w:val="false"/>
        <w:pageBreakBefore w:val="false"/>
        <w:spacing w:lineRule="auto" w:line="360"/>
        <w:tabs>
          <w:tab w:val="left" w:pos="0" w:leader="none"/>
        </w:tabs>
        <w:rPr>
          <w:color w:val="auto"/>
          <w:sz w:val="24"/>
        </w:rPr>
        <w:outlineLvl w:val="9"/>
      </w:pPr>
      <w:r>
        <w:rPr>
          <w:rFonts w:hint="eastAsia"/>
          <w:color w:val="auto"/>
          <w:sz w:val="24"/>
        </w:rPr>
        <w:t xml:space="preserve">五、评估原则和假设</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六、评估依据</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本次评估的主要依据有：</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（一）行为依据 </w:t>
      </w:r>
      <w:r/>
    </w:p>
    <w:p>
      <w:pPr>
        <w:ind w:left="418" w:right="0" w:firstLine="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1、行为依据1；</w:t>
      </w:r>
      <w:r>
        <w:rPr>
          <w:rFonts w:ascii="宋体" w:eastAsia="宋体"/>
          <w:sz w:val="24"/>
        </w:rPr>
        <w:br/>
        <w:t xml:space="preserve">2、行为依据2。</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（二）法规依据 </w:t>
      </w:r>
      <w:r/>
    </w:p>
    <w:p>
      <w:pPr>
        <w:ind w:left="418" w:right="0" w:firstLine="0"/>
        <w:jc w:val="left"/>
        <w:keepLines w:val="false"/>
        <w:keepNext w:val="false"/>
        <w:pageBreakBefore w:val="false"/>
        <w:spacing w:lineRule="auto" w:line="360"/>
        <w:widowControl/>
        <w:rPr>
          <w:rFonts w:ascii="宋体" w:hAnsi="宋体"/>
          <w:color w:val="auto"/>
        </w:rPr>
        <w:suppressLineNumbers w:val="0"/>
      </w:pPr>
      <w:r>
        <w:rPr>
          <w:rFonts w:ascii="宋体" w:eastAsia="宋体"/>
          <w:b w:val="false"/>
          <w:i w:val="false"/>
          <w:caps w:val="false"/>
          <w:color w:val="333333"/>
          <w:spacing w:val="0"/>
          <w:sz w:val="24"/>
          <w:szCs w:val="32"/>
          <w:u w:val="none"/>
          <w:shd w:val="clear" w:fill="FFFFFF" w:color="FFFFFF"/>
          <w:lang w:val="en-US" w:bidi="ar" w:eastAsia="zh-CN"/>
        </w:rPr>
        <w:t xml:space="preserve">1、法律、法规依据1；</w:t>
      </w:r>
      <w:r>
        <w:rPr>
          <w:rFonts w:ascii="宋体" w:eastAsia="宋体"/>
          <w:sz w:val="24"/>
        </w:rPr>
        <w:br/>
        <w:t xml:space="preserve">2、法律、法规依据2。</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（三）产权依据 </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车辆占有方提供的机动车行驶证。</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（四）取价依据：</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大连地区汽车市场相同车型售价。</w:t>
      </w:r>
      <w:r/>
    </w:p>
    <w:p>
      <w:pPr>
        <w:pStyle w:val="869"/>
        <w:ind w:left="0" w:right="0" w:firstLine="420"/>
        <w:keepLines w:val="false"/>
        <w:keepNext w:val="false"/>
        <w:pageBreakBefore w:val="false"/>
        <w:spacing w:lineRule="auto" w:line="360"/>
        <w:rPr>
          <w:rFonts w:hint="eastAsia"/>
          <w:color w:val="auto"/>
        </w:rPr>
        <w:outlineLvl w:val="9"/>
      </w:pPr>
      <w:r>
        <w:rPr>
          <w:rFonts w:hint="eastAsia"/>
          <w:color w:val="auto"/>
        </w:rPr>
        <w:t xml:space="preserve">（五）参考资料及其他 </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技术标准资料：《机动车运行安全技术条件》GB7258-2004；</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技术参考资料：马自达系列车型装备一览表；</w:t>
      </w:r>
      <w:r/>
    </w:p>
    <w:p>
      <w:pPr>
        <w:pStyle w:val="869"/>
        <w:numPr>
          <w:ilvl w:val="0"/>
          <w:numId w:val="2"/>
        </w:numPr>
        <w:ind w:right="0"/>
        <w:keepLines w:val="false"/>
        <w:keepNext w:val="false"/>
        <w:pageBreakBefore w:val="false"/>
        <w:spacing w:lineRule="auto" w:line="360"/>
        <w:rPr>
          <w:color w:val="auto"/>
        </w:rPr>
        <w:outlineLvl w:val="9"/>
      </w:pPr>
      <w:r>
        <w:rPr>
          <w:rFonts w:hint="eastAsia"/>
          <w:color w:val="auto"/>
        </w:rPr>
        <w:t xml:space="preserve">车辆占有方提供的原始凭证；</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七、评估方法</w:t>
      </w:r>
      <w:r/>
    </w:p>
    <w:p>
      <w:pPr>
        <w:ind w:left="0" w:right="0" w:firstLine="480"/>
        <w:jc w:val="left"/>
        <w:keepLines w:val="false"/>
        <w:keepNext w:val="false"/>
        <w:pageBreakBefore w:val="false"/>
        <w:spacing w:lineRule="auto" w:line="360"/>
        <w:widowControl/>
        <w:rPr>
          <w:color w:val="auto"/>
          <w:sz w:val="24"/>
          <w:szCs w:val="24"/>
        </w:rPr>
        <w:suppressLineNumbers w:val="0"/>
      </w:pPr>
      <w:r>
        <w:rPr>
          <w:rFonts w:hint="eastAsia"/>
          <w:color w:val="auto"/>
          <w:sz w:val="24"/>
          <w:szCs w:val="24"/>
        </w:rPr>
        <w:t xml:space="preserve">考虑车辆特点，结合特定评估目的，本次评估采用</w:t>
      </w:r>
      <w:r>
        <w:rPr>
          <w:rFonts w:ascii="宋体" w:eastAsia="宋体"/>
          <w:b w:val="false"/>
          <w:i w:val="false"/>
          <w:caps w:val="false"/>
          <w:color w:val="333333"/>
          <w:spacing w:val="0"/>
          <w:sz w:val="24"/>
          <w:szCs w:val="24"/>
          <w:u w:val="none"/>
          <w:shd w:val="nil" w:color="auto" w:fill="auto"/>
          <w:lang w:val="en-US" w:bidi="ar" w:eastAsia="zh-CN"/>
        </w:rPr>
        <w:t xml:space="preserve">、重置成本法、现行市价法</w:t>
      </w:r>
      <w:r>
        <w:rPr>
          <w:rFonts w:hint="eastAsia"/>
          <w:color w:val="auto"/>
          <w:sz w:val="24"/>
          <w:szCs w:val="24"/>
        </w:rPr>
        <w:t xml:space="preserve">进行评估，从而确定车辆的损失价格</w:t>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八、评估过程</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根据国家现行有关事故车辆评估的政策和法规规定，我们对委托评估的车辆实施了如下的评估程序：</w:t>
      </w:r>
      <w:r/>
    </w:p>
    <w:p>
      <w:pPr>
        <w:ind w:left="0" w:right="0" w:firstLine="480"/>
        <w:jc w:val="left"/>
        <w:keepLines w:val="false"/>
        <w:keepNext w:val="false"/>
        <w:pageBreakBefore w:val="false"/>
        <w:spacing w:lineRule="auto" w:line="360"/>
        <w:widowControl/>
        <w:rPr>
          <w:rFonts w:hint="eastAsia"/>
          <w:color w:val="auto"/>
          <w:sz w:val="24"/>
          <w:szCs w:val="24"/>
        </w:rPr>
        <w:suppressLineNumbers w:val="0"/>
      </w:pPr>
      <w:r>
        <w:rPr>
          <w:rFonts w:hint="eastAsia"/>
          <w:color w:val="auto"/>
          <w:sz w:val="24"/>
          <w:szCs w:val="24"/>
        </w:rPr>
        <w:t xml:space="preserve">评估时间： </w:t>
      </w:r>
      <w:r>
        <w:rPr>
          <w:rFonts w:ascii="宋体" w:eastAsia="宋体"/>
          <w:b w:val="false"/>
          <w:i w:val="false"/>
          <w:caps w:val="false"/>
          <w:color w:val="333333"/>
          <w:spacing w:val="0"/>
          <w:sz w:val="24"/>
          <w:szCs w:val="24"/>
          <w:u w:val="none"/>
          <w:shd w:val="nil" w:color="auto" w:fill="auto"/>
          <w:lang w:val="en-US" w:bidi="ar" w:eastAsia="zh-CN"/>
        </w:rPr>
        <w:t xml:space="preserve">2020年10月10日</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评估主要步骤：</w:t>
      </w:r>
      <w:r/>
    </w:p>
    <w:p>
      <w:pPr>
        <w:pStyle w:val="869"/>
        <w:ind w:left="0" w:right="0" w:firstLine="420"/>
        <w:keepLines w:val="false"/>
        <w:keepNext w:val="false"/>
        <w:pageBreakBefore w:val="false"/>
        <w:spacing w:lineRule="auto" w:line="360"/>
        <w:rPr>
          <w:color w:val="auto"/>
        </w:rPr>
        <w:outlineLvl w:val="9"/>
      </w:pPr>
      <w:r>
        <w:rPr>
          <w:rFonts w:hint="eastAsia"/>
          <w:color w:val="auto"/>
        </w:rPr>
        <w:t xml:space="preserve">1、接受委托和指定，明确评估目的、评估范围和对象、商定评估基准日并达成车辆评估业务委托协议；</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2、评估人员拟定评估方案，向车辆占有方提出填报委托评估资产清单和提供有关资料的要求；</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3、在车辆占有方配合下，评估人员现场清查资产，验证资料，判明资产权属；</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4、在车辆占有方配合下，评估人员对车辆进行现场查勘和技术勘察；</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5、评估人员选定评估方法和计算公式，验证有关技术材料，进行必要而可能的调查和资料搜集，评定估算；</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6、汇总评估结果，分析确定评估结论，撰写车辆评估报告书，提交正式评估报告。</w:t>
      </w:r>
      <w:r/>
    </w:p>
    <w:p>
      <w:pPr>
        <w:ind w:left="0" w:right="0" w:firstLine="0"/>
        <w:jc w:val="left"/>
        <w:keepLines w:val="false"/>
        <w:keepNext w:val="false"/>
        <w:pageBreakBefore w:val="false"/>
        <w:spacing w:lineRule="auto" w:line="360"/>
        <w:rPr>
          <w:color w:val="auto"/>
          <w:sz w:val="24"/>
        </w:rPr>
        <w:outlineLvl w:val="9"/>
      </w:pPr>
      <w:r>
        <w:rPr>
          <w:rFonts w:hint="eastAsia"/>
          <w:color w:val="auto"/>
          <w:sz w:val="24"/>
        </w:rPr>
        <w:t xml:space="preserve">九、评估结论</w:t>
      </w:r>
      <w:r/>
    </w:p>
    <w:p>
      <w:pPr>
        <w:ind w:left="0" w:right="0" w:firstLine="420"/>
        <w:keepLines w:val="false"/>
        <w:keepNext w:val="false"/>
        <w:pageBreakBefore w:val="false"/>
        <w:spacing w:lineRule="auto" w:line="360"/>
        <w:rPr>
          <w:rFonts w:hint="eastAsia"/>
          <w:color w:val="auto"/>
          <w:sz w:val="24"/>
        </w:rPr>
        <w:outlineLvl w:val="9"/>
      </w:pPr>
      <w:r>
        <w:rPr>
          <w:rFonts w:hint="eastAsia"/>
          <w:color w:val="auto"/>
          <w:sz w:val="24"/>
        </w:rPr>
        <w:t xml:space="preserve">根据以上评估工作，结合公式：</w:t>
      </w:r>
      <w:r/>
    </w:p>
    <w:p>
      <w:pPr>
        <w:ind w:right="0" w:firstLine="480"/>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hint="eastAsia"/>
          <w:color w:val="auto"/>
          <w:sz w:val="24"/>
        </w:rPr>
        <w:outlineLvl w:val="9"/>
      </w:pPr>
      <w:r>
        <w:rPr>
          <w:rFonts w:hint="eastAsia"/>
          <w:color w:val="auto"/>
          <w:sz w:val="24"/>
        </w:rPr>
        <w:t xml:space="preserve">计算公式：评估值=</w:t>
      </w:r>
      <w:r>
        <w:rPr>
          <w:rFonts w:ascii="宋体" w:hAnsi="宋体" w:hint="eastAsia"/>
          <w:color w:val="auto"/>
          <w:sz w:val="24"/>
        </w:rPr>
        <w:t xml:space="preserve">Σ</w:t>
      </w:r>
      <w:r>
        <w:rPr>
          <w:rFonts w:hint="eastAsia"/>
          <w:color w:val="auto"/>
          <w:sz w:val="24"/>
        </w:rPr>
        <w:t xml:space="preserve">修复费用-残值</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ascii="仿宋" w:hAnsi="仿宋" w:eastAsia="仿宋" w:hint="eastAsia"/>
          <w:color w:val="auto"/>
          <w:sz w:val="24"/>
        </w:rPr>
        <w:outlineLvl w:val="9"/>
      </w:pPr>
      <w:r>
        <w:rPr>
          <w:rFonts w:hint="eastAsia"/>
          <w:color w:val="auto"/>
          <w:sz w:val="24"/>
        </w:rPr>
        <w:t xml:space="preserve">=</w:t>
      </w:r>
      <w:r>
        <w:rPr>
          <w:rFonts w:ascii="宋体" w:hAnsi="宋体" w:hint="eastAsia"/>
          <w:color w:val="auto"/>
          <w:sz w:val="24"/>
        </w:rPr>
        <w:t xml:space="preserve">Σ（</w:t>
      </w:r>
      <w:r>
        <w:rPr>
          <w:rFonts w:ascii="仿宋" w:hAnsi="仿宋" w:cs="宋体" w:eastAsia="仿宋" w:hint="eastAsia"/>
          <w:color w:val="auto"/>
          <w:sz w:val="24"/>
        </w:rPr>
        <w:t xml:space="preserve">更换零部件总价格+材料费用+工时费用+其他费用）-残值</w:t>
      </w:r>
      <w:r/>
    </w:p>
    <w:p>
      <w:pPr>
        <w:ind w:left="0" w:right="0" w:firstLine="419"/>
        <w:jc w:val="left"/>
        <w:keepLines w:val="false"/>
        <w:keepNext w:val="false"/>
        <w:pageBreakBefore w:val="false"/>
        <w:spacing w:lineRule="auto" w:line="360"/>
        <w:widowControl/>
        <w:rPr>
          <w:color w:val="auto"/>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80"/>
        <w:jc w:val="left"/>
        <w:keepLines w:val="false"/>
        <w:keepNext w:val="false"/>
        <w:pageBreakBefore w:val="false"/>
        <w:spacing w:lineRule="auto" w:line="360"/>
        <w:widowControl/>
        <w:rPr>
          <w:rFonts w:ascii="宋体" w:hAnsi="宋体"/>
          <w:color w:val="auto"/>
        </w:rPr>
        <w:suppressLineNumbers w:val="0"/>
      </w:pPr>
      <w:r>
        <w:rPr>
          <w:rFonts w:ascii="宋体" w:hAnsi="宋体" w:hint="eastAsia"/>
          <w:color w:val="auto"/>
          <w:sz w:val="24"/>
          <w:szCs w:val="24"/>
        </w:rPr>
        <w:t xml:space="preserve">即</w:t>
      </w:r>
      <w:r>
        <w:rPr>
          <w:rFonts w:ascii="宋体" w:eastAsia="宋体"/>
          <w:b w:val="false"/>
          <w:i w:val="false"/>
          <w:caps w:val="false"/>
          <w:color w:val="333333"/>
          <w:spacing w:val="0"/>
          <w:sz w:val="24"/>
          <w:szCs w:val="24"/>
          <w:u w:val="none"/>
          <w:shd w:val="nil" w:color="auto" w:fill="auto"/>
          <w:lang w:val="en-US" w:bidi="ar" w:eastAsia="zh-CN"/>
        </w:rPr>
        <w:t xml:space="preserve">车牌号码A</w:t>
      </w:r>
      <w:r>
        <w:rPr>
          <w:rFonts w:hint="eastAsia"/>
          <w:color w:val="auto"/>
          <w:sz w:val="24"/>
          <w:szCs w:val="24"/>
        </w:rPr>
        <w:t xml:space="preserve">  </w:t>
      </w:r>
      <w:r>
        <w:rPr>
          <w:rFonts w:ascii="宋体" w:eastAsia="宋体"/>
          <w:b w:val="false"/>
          <w:i w:val="false"/>
          <w:caps w:val="false"/>
          <w:color w:val="333333"/>
          <w:spacing w:val="0"/>
          <w:sz w:val="24"/>
          <w:szCs w:val="24"/>
          <w:u w:val="none"/>
          <w:shd w:val="nil" w:color="auto" w:fill="auto"/>
          <w:lang w:val="en-US" w:bidi="ar" w:eastAsia="zh-CN"/>
        </w:rPr>
        <w:t xml:space="preserve">车牌号码A</w:t>
      </w:r>
      <w:r>
        <w:rPr>
          <w:rFonts w:ascii="宋体" w:hAnsi="宋体" w:hint="eastAsia"/>
          <w:color w:val="auto"/>
          <w:sz w:val="24"/>
          <w:szCs w:val="24"/>
        </w:rPr>
        <w:t xml:space="preserve">的事故车辆评估金额为</w:t>
      </w:r>
      <w:r>
        <w:rPr>
          <w:rFonts w:ascii="宋体" w:eastAsia="宋体"/>
          <w:b w:val="false"/>
          <w:i w:val="false"/>
          <w:caps w:val="false"/>
          <w:color w:val="FF0000"/>
          <w:spacing w:val="0"/>
          <w:sz w:val="24"/>
          <w:szCs w:val="24"/>
          <w:u w:val="none"/>
          <w:shd w:val="nil" w:color="auto" w:fill="auto"/>
          <w:lang w:val="en-US" w:bidi="ar" w:eastAsia="zh-CN"/>
        </w:rPr>
        <w:t xml:space="preserve">0.0019</w:t>
      </w:r>
      <w:r>
        <w:rPr>
          <w:rFonts w:ascii="宋体" w:hAnsi="宋体" w:hint="eastAsia"/>
          <w:color w:val="auto"/>
          <w:sz w:val="24"/>
          <w:szCs w:val="24"/>
        </w:rPr>
        <w:t xml:space="preserve">万元整，（大写人民币</w:t>
      </w:r>
      <w:r>
        <w:rPr>
          <w:rFonts w:ascii="宋体" w:eastAsia="宋体"/>
          <w:b w:val="false"/>
          <w:i w:val="false"/>
          <w:caps w:val="false"/>
          <w:color w:val="FF0000"/>
          <w:spacing w:val="0"/>
          <w:sz w:val="24"/>
          <w:szCs w:val="24"/>
          <w:u w:val="none"/>
          <w:shd w:val="nil" w:color="auto" w:fill="auto"/>
          <w:lang w:val="en-US" w:bidi="ar" w:eastAsia="zh-CN"/>
        </w:rPr>
        <w:t xml:space="preserve">壹拾玖元整</w:t>
      </w:r>
      <w:r>
        <w:rPr>
          <w:rFonts w:ascii="宋体" w:hAnsi="宋体" w:hint="eastAsia"/>
          <w:color w:val="auto"/>
        </w:rPr>
        <w:t xml:space="preserve">整）</w:t>
      </w:r>
      <w:r/>
    </w:p>
    <w:p>
      <w:pPr>
        <w:rPr>
          <w:rFonts w:ascii="宋体" w:hAnsi="宋体"/>
          <w:color w:val="auto"/>
        </w:rPr>
      </w:pPr>
      <w:r>
        <w:rPr>
          <w:rFonts w:ascii="宋体" w:hAnsi="宋体"/>
          <w:color w:val="auto"/>
        </w:rPr>
        <w:br w:type="page"/>
      </w:r>
      <w:r/>
    </w:p>
    <w:p>
      <w:pPr>
        <w:pStyle w:val="869"/>
        <w:ind w:left="0" w:right="0" w:firstLine="0"/>
        <w:keepLines w:val="false"/>
        <w:keepNext w:val="false"/>
        <w:pageBreakBefore w:val="false"/>
        <w:spacing w:lineRule="auto" w:line="360"/>
        <w:rPr>
          <w:color w:val="auto"/>
        </w:rPr>
        <w:outlineLvl w:val="9"/>
      </w:pPr>
      <w:r>
        <w:rPr>
          <w:rFonts w:hint="eastAsia"/>
          <w:color w:val="auto"/>
        </w:rPr>
        <w:t xml:space="preserve">十、特别事项说明 </w:t>
      </w:r>
      <w:r/>
    </w:p>
    <w:p>
      <w:pPr>
        <w:ind w:left="418" w:right="0" w:firstLine="0"/>
        <w:jc w:val="left"/>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bookmarkStart w:id="0" w:name="_GoBack"/>
      <w:r>
        <w:rPr>
          <w:rFonts w:ascii="宋体" w:eastAsia="宋体"/>
          <w:b w:val="false"/>
          <w:i w:val="false"/>
          <w:caps w:val="false"/>
          <w:color w:val="333333"/>
          <w:spacing w:val="0"/>
          <w:sz w:val="24"/>
          <w:szCs w:val="32"/>
          <w:u w:val="none"/>
          <w:shd w:val="clear" w:fill="FFFFFF" w:color="FFFFFF"/>
          <w:lang w:val="en-US" w:bidi="ar" w:eastAsia="zh-CN"/>
        </w:rPr>
        <w:t xml:space="preserve">1、特别说明事项1；</w:t>
      </w:r>
      <w:bookmarkEnd w:id="0"/>
      <w:r>
        <w:rPr>
          <w:rFonts w:ascii="宋体" w:eastAsia="宋体"/>
          <w:sz w:val="24"/>
        </w:rPr>
        <w:br/>
        <w:t xml:space="preserve">2、特别说明事项2。</w:t>
      </w:r>
      <w:r/>
    </w:p>
    <w:p>
      <w:pPr>
        <w:ind w:right="0"/>
        <w:keepLines w:val="false"/>
        <w:keepNext w:val="false"/>
        <w:pageBreakBefore w:val="false"/>
        <w:spacing w:lineRule="auto" w:line="360"/>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十一、评估报告法律效力 </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1、本评估报告书系评估专业人员依据国家有关规定出具的，按照法律、法规的有关规定发生法律效力；</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2、本评估报告包含若干备查文件，这些备查文件亦构成评估报告之重要组成部分，与本报告正文具有同等法律效力：</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3、本评估结论的有效使用期限按本次评估的目的规定为六个月，评估目的在提交报告日后的六个月内实现时，可以本评估结果作为参考依据，超过六个月，需重新进行评估；</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4、本评估报告书仅供委托方和车辆占有方作为本次评估目的使用，评估报告书的使用权归车辆占有方所有，未经委托方和车辆占有方许可，评估机构不得随意向他人提供或公开。</w:t>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十二、评估报告基准日期后重大事项 </w:t>
      </w:r>
      <w:r/>
    </w:p>
    <w:p>
      <w:pPr>
        <w:pStyle w:val="869"/>
        <w:numPr>
          <w:ilvl w:val="0"/>
          <w:numId w:val="3"/>
        </w:numPr>
        <w:ind w:left="0" w:right="0" w:firstLine="420"/>
        <w:jc w:val="both"/>
        <w:keepLines w:val="false"/>
        <w:keepNext w:val="false"/>
        <w:pageBreakBefore w:val="false"/>
        <w:spacing w:lineRule="auto" w:line="360"/>
        <w:rPr>
          <w:color w:val="auto"/>
        </w:rPr>
        <w:outlineLvl w:val="9"/>
      </w:pPr>
      <w:r>
        <w:rPr>
          <w:rFonts w:hint="eastAsia"/>
          <w:color w:val="auto"/>
        </w:rPr>
        <w:t xml:space="preserve">评估基准日至评估报告出具日期间未发生重大事项。</w:t>
      </w:r>
      <w:r/>
    </w:p>
    <w:p>
      <w:pPr>
        <w:pStyle w:val="869"/>
        <w:ind w:left="0" w:right="0" w:firstLine="420"/>
        <w:jc w:val="both"/>
        <w:keepLines w:val="false"/>
        <w:keepNext w:val="false"/>
        <w:pageBreakBefore w:val="false"/>
        <w:spacing w:lineRule="auto" w:line="360"/>
        <w:rPr>
          <w:rFonts w:hint="eastAsia"/>
          <w:color w:val="auto"/>
        </w:rPr>
        <w:outlineLvl w:val="9"/>
      </w:pPr>
      <w:r>
        <w:rPr>
          <w:rFonts w:hint="eastAsia"/>
          <w:color w:val="auto"/>
        </w:rPr>
        <w:t xml:space="preserve">2、评估报告出具日期之后和本评估结果有效期内，如发生影响委托评估车辆价值的重大期后事项，不能直接使用本评估结论。</w:t>
      </w:r>
      <w:r/>
    </w:p>
    <w:p>
      <w:pPr>
        <w:pStyle w:val="869"/>
        <w:ind w:left="0" w:right="0" w:firstLine="0"/>
        <w:jc w:val="both"/>
        <w:keepLines w:val="false"/>
        <w:keepNext w:val="false"/>
        <w:pageBreakBefore w:val="false"/>
        <w:spacing w:lineRule="auto" w:line="360"/>
        <w:rPr>
          <w:color w:val="auto"/>
        </w:rPr>
        <w:outlineLvl w:val="9"/>
      </w:pPr>
      <w:r>
        <w:rPr>
          <w:rFonts w:hint="eastAsia"/>
          <w:color w:val="auto"/>
        </w:rPr>
        <w:t xml:space="preserve">十三、评估报告提出日期 </w:t>
      </w:r>
      <w:r/>
    </w:p>
    <w:p>
      <w:pPr>
        <w:pStyle w:val="869"/>
        <w:ind w:left="0" w:right="0" w:firstLine="420"/>
        <w:jc w:val="both"/>
        <w:keepLines w:val="false"/>
        <w:keepNext w:val="false"/>
        <w:pageBreakBefore w:val="false"/>
        <w:spacing w:lineRule="auto" w:line="360"/>
        <w:rPr>
          <w:color w:val="auto"/>
        </w:rPr>
        <w:outlineLvl w:val="9"/>
      </w:pPr>
      <w:r>
        <w:rPr>
          <w:rFonts w:hint="eastAsia"/>
          <w:color w:val="auto"/>
        </w:rPr>
        <w:t xml:space="preserve">评估报告提出日期为本评估报告签署日期。</w:t>
      </w:r>
      <w:r/>
    </w:p>
    <w:p>
      <w:pPr>
        <w:ind w:left="0" w:right="0" w:firstLine="1920"/>
        <w:jc w:val="both"/>
        <w:keepLines w:val="false"/>
        <w:keepNext w:val="false"/>
        <w:pageBreakBefore w:val="false"/>
        <w:spacing w:lineRule="auto" w:line="360"/>
        <w:rPr>
          <w:color w:val="auto"/>
          <w:sz w:val="24"/>
        </w:rPr>
        <w:outlineLvl w:val="9"/>
      </w:pPr>
      <w:r>
        <w:rPr>
          <w:color w:val="auto"/>
          <w:sz w:val="24"/>
        </w:rPr>
      </w:r>
      <w:r/>
    </w:p>
    <w:p>
      <w:pPr>
        <w:ind w:left="0" w:right="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辽宁鑫宏成机动车鉴定评估有限公司</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法定代表人：聂振宇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项目负责人：中国注册二手车鉴定估价师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项目复核人：中国注册高级二手车鉴定估价师</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897"/>
        <w:jc w:val="both"/>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p>
    <w:p>
      <w:pPr>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十四、评估机构 </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机构名称：辽宁鑫宏成机动车鉴定评估有限公司</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eastAsia="宋体" w:hint="eastAsia"/>
          <w:color w:val="auto"/>
          <w:sz w:val="24"/>
          <w:lang w:eastAsia="zh-CN"/>
        </w:rPr>
        <w:outlineLvl w:val="9"/>
      </w:pPr>
      <w:r>
        <w:rPr>
          <w:rFonts w:hint="eastAsia"/>
          <w:color w:val="auto"/>
          <w:sz w:val="24"/>
        </w:rPr>
        <w:t xml:space="preserve">十五、附件 </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价格评估明细</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现场勘验照片</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评估机构资质</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评估机构营业执照</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评估人员资质证书复印件</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color w:val="auto"/>
          <w:sz w:val="24"/>
        </w:rPr>
        <w:outlineLvl w:val="9"/>
      </w:pPr>
      <w:r>
        <w:rPr>
          <w:color w:val="auto"/>
          <w:sz w:val="24"/>
        </w:rPr>
      </w:r>
      <w:r/>
    </w:p>
    <w:tbl>
      <w:tblPr>
        <w:tblStyle w:val="866"/>
        <w:tblpPr w:horzAnchor="page" w:tblpX="1616" w:vertAnchor="text" w:tblpY="312" w:leftFromText="180" w:topFromText="0" w:rightFromText="180" w:bottomFromText="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056"/>
        <w:gridCol w:w="3402"/>
        <w:gridCol w:w="3664"/>
        <w:gridCol w:w="423"/>
      </w:tblGrid>
      <w:tr>
        <w:trPr>
          <w:trHeight w:val="1034"/>
        </w:trPr>
        <w:tc>
          <w:tcPr>
            <w:tcW w:w="1240"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姓 名</w:t>
            </w:r>
            <w:r/>
          </w:p>
        </w:tc>
        <w:tc>
          <w:tcPr>
            <w:tcW w:w="3532"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执业资格名称</w:t>
            </w:r>
            <w:r/>
          </w:p>
        </w:tc>
        <w:tc>
          <w:tcPr>
            <w:tcW w:w="2386"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资格证号</w:t>
            </w:r>
            <w:r/>
          </w:p>
        </w:tc>
        <w:tc>
          <w:tcPr>
            <w:tcW w:w="2387"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盖 章</w:t>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yyc</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bl>
    <w:p>
      <w:pPr>
        <w:ind w:right="0"/>
        <w:keepLines w:val="false"/>
        <w:keepNext w:val="false"/>
        <w:pageBreakBefore w:val="false"/>
        <w:spacing w:lineRule="auto" w:line="360"/>
        <w:rPr>
          <w:color w:val="auto"/>
          <w:sz w:val="24"/>
        </w:rPr>
        <w:outlineLvl w:val="9"/>
      </w:pPr>
      <w:r>
        <w:rPr>
          <w:color w:val="auto"/>
          <w:sz w:val="24"/>
        </w:rPr>
      </w:r>
      <w:r/>
    </w:p>
    <w:p>
      <w:pPr>
        <w:pStyle w:val="869"/>
        <w:ind w:right="0" w:firstLine="0"/>
        <w:keepLines w:val="false"/>
        <w:keepNext w:val="false"/>
        <w:pageBreakBefore w:val="false"/>
        <w:spacing w:lineRule="auto" w:line="360"/>
        <w:rPr>
          <w:color w:val="auto"/>
        </w:rPr>
        <w:outlineLvl w:val="9"/>
      </w:pPr>
      <w:r>
        <w:rPr>
          <w:rFonts w:hint="eastAsia"/>
          <w:color w:val="auto"/>
          <w:sz w:val="28"/>
          <w:szCs w:val="28"/>
        </w:rPr>
        <w:t xml:space="preserve">机构盖章：</w:t>
      </w:r>
      <w:r/>
    </w:p>
    <w:p>
      <w:pPr>
        <w:pStyle w:val="869"/>
        <w:ind w:firstLine="0"/>
        <w:rPr>
          <w:rFonts w:ascii="宋体" w:hAnsi="宋体"/>
          <w:color w:val="auto"/>
        </w:rPr>
      </w:pPr>
      <w:r>
        <w:rPr>
          <w:rFonts w:ascii="宋体" w:hAnsi="宋体"/>
          <w:color w:val="auto"/>
        </w:rPr>
      </w:r>
      <w:r/>
    </w:p>
    <w:p>
      <w:pPr>
        <w:pStyle w:val="869"/>
        <w:rPr>
          <w:rFonts w:ascii="宋体" w:hAnsi="宋体"/>
          <w:color w:val="auto"/>
        </w:rPr>
      </w:pPr>
      <w:r>
        <w:rPr>
          <w:rFonts w:ascii="宋体" w:hAnsi="宋体"/>
          <w:color w:val="auto"/>
        </w:rPr>
      </w:r>
      <w:r/>
    </w:p>
    <w:p>
      <w:pPr>
        <w:pStyle w:val="869"/>
        <w:rPr>
          <w:rFonts w:ascii="宋体" w:hAnsi="宋体"/>
          <w:color w:val="auto"/>
        </w:rPr>
      </w:pPr>
      <w:r>
        <w:rPr>
          <w:rFonts w:ascii="宋体" w:hAnsi="宋体"/>
          <w:color w:val="auto"/>
        </w:rPr>
      </w:r>
      <w:r/>
    </w:p>
    <w:p>
      <w:pPr>
        <w:pStyle w:val="869"/>
        <w:ind w:firstLine="0"/>
        <w:jc w:val="left"/>
        <w:rPr>
          <w:rFonts w:ascii="宋体" w:hAnsi="宋体"/>
          <w:color w:val="auto"/>
        </w:rPr>
        <w:sectPr>
          <w:headerReference w:type="default" r:id="rId9"/>
          <w:footerReference w:type="default" r:id="rId10"/>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color w:val="auto"/>
        </w:rPr>
        <w:sectPr>
          <w:footerReference w:type="default" r:id="rId11"/>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2、评估机构资质复印件</w:t>
      </w:r>
      <w:r/>
    </w:p>
    <w:p>
      <w:pPr>
        <w:pStyle w:val="869"/>
        <w:ind w:left="480"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sectPr>
          <w:footerReference w:type="default" r:id="rId12"/>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2、评估机构资质复印件</w:t>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sectPr>
          <w:footerReference w:type="default" r:id="rId13"/>
          <w:footnotePr/>
          <w:endnotePr/>
          <w:type w:val="nextPage"/>
          <w:pgSz w:w="11907" w:h="16840" w:orient="portrait"/>
          <w:pgMar w:top="936" w:right="958" w:bottom="471" w:left="1620" w:header="851" w:footer="992" w:gutter="0"/>
          <w:cols w:num="1" w:sep="0" w:space="720" w:equalWidth="1"/>
          <w:docGrid w:linePitch="360"/>
        </w:sectPr>
      </w:pPr>
      <w:r>
        <w:rPr>
          <w:rFonts w:ascii="宋体" w:hAnsi="宋体"/>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ascii="宋体" w:hAnsi="宋体" w:hint="eastAsia"/>
          <w:color w:val="auto"/>
        </w:rPr>
      </w:pPr>
      <w:r>
        <w:rPr>
          <w:rFonts w:ascii="宋体" w:hAnsi="宋体" w:hint="eastAsia"/>
          <w:color w:val="auto"/>
        </w:rPr>
        <w:t xml:space="preserve">3、</w:t>
      </w:r>
      <w:r>
        <w:rPr>
          <w:rFonts w:hint="eastAsia"/>
          <w:color w:val="auto"/>
        </w:rPr>
        <w:t xml:space="preserve">评估人员资质证书复印件</w:t>
      </w:r>
      <w:r/>
    </w:p>
    <w:p>
      <w:pPr>
        <w:pStyle w:val="869"/>
        <w:ind w:firstLine="0"/>
        <w:rPr>
          <w:color w:val="auto"/>
        </w:rPr>
        <w:sectPr>
          <w:footerReference w:type="default" r:id="rId14"/>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69"/>
        <w:ind w:firstLine="0"/>
        <w:rPr>
          <w:rFonts w:ascii="宋体" w:hAnsi="宋体" w:hint="eastAsia"/>
          <w:color w:val="auto"/>
        </w:rPr>
      </w:pPr>
      <w:r>
        <w:rPr>
          <w:rFonts w:ascii="宋体" w:hAnsi="宋体" w:hint="eastAsia"/>
          <w:color w:val="auto"/>
        </w:rPr>
        <w:t xml:space="preserve">附件：</w:t>
      </w:r>
      <w:r/>
    </w:p>
    <w:p>
      <w:pPr>
        <w:pStyle w:val="869"/>
        <w:ind w:firstLine="0"/>
        <w:rPr>
          <w:rFonts w:hint="eastAsia"/>
          <w:color w:val="auto"/>
        </w:rPr>
      </w:pPr>
      <w:r>
        <w:rPr>
          <w:rFonts w:hint="eastAsia"/>
          <w:color w:val="auto"/>
        </w:rPr>
        <w:t xml:space="preserve">3、评估人员资质证书复印件</w:t>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pPr>
      <w:r>
        <w:rPr>
          <w:color w:val="auto"/>
        </w:rPr>
      </w:r>
      <w:r/>
    </w:p>
    <w:p>
      <w:pPr>
        <w:pStyle w:val="869"/>
        <w:ind w:firstLine="0"/>
        <w:rPr>
          <w:color w:val="auto"/>
        </w:rPr>
        <w:sectPr>
          <w:footerReference w:type="default" r:id="rId15"/>
          <w:footnotePr/>
          <w:endnotePr/>
          <w:type w:val="nextPage"/>
          <w:pgSz w:w="11907" w:h="16840" w:orient="portrait"/>
          <w:pgMar w:top="936" w:right="958" w:bottom="471" w:left="1620" w:header="851" w:footer="992" w:gutter="0"/>
          <w:cols w:num="1" w:sep="0" w:space="720" w:equalWidth="1"/>
          <w:docGrid w:linePitch="360"/>
        </w:sectPr>
      </w:pPr>
      <w:r>
        <w:rPr>
          <w:color w:val="auto"/>
        </w:rPr>
      </w:r>
      <w:r/>
    </w:p>
    <w:p>
      <w:pPr>
        <w:pStyle w:val="869"/>
        <w:ind w:firstLine="0"/>
        <w:rPr>
          <w:rFonts w:hint="eastAsia"/>
          <w:color w:val="auto"/>
        </w:rPr>
      </w:pPr>
      <w:r>
        <w:rPr>
          <w:rFonts w:hint="eastAsia"/>
          <w:color w:val="auto"/>
        </w:rPr>
        <w:t xml:space="preserve">附件：</w:t>
      </w:r>
      <w:r/>
    </w:p>
    <w:p>
      <w:pPr>
        <w:pStyle w:val="869"/>
        <w:ind w:firstLine="0"/>
        <w:rPr>
          <w:rFonts w:hint="eastAsia"/>
          <w:color w:val="auto"/>
        </w:rPr>
      </w:pPr>
      <w:r>
        <w:rPr>
          <w:rFonts w:hint="eastAsia"/>
          <w:color w:val="auto"/>
        </w:rPr>
        <w:t xml:space="preserve">4、评估人员资质证书复印件</w:t>
      </w:r>
      <w:r/>
    </w:p>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p>
      <w:pPr>
        <w:ind w:firstLine="3363"/>
        <w:rPr>
          <w:b/>
          <w:color w:val="auto"/>
          <w:sz w:val="24"/>
        </w:rPr>
        <w:sectPr>
          <w:footerReference w:type="default" r:id="rId16"/>
          <w:footnotePr/>
          <w:endnotePr/>
          <w:type w:val="nextPage"/>
          <w:pgSz w:w="11907" w:h="16840" w:orient="portrait"/>
          <w:pgMar w:top="936" w:right="958" w:bottom="471" w:left="1620" w:header="851" w:footer="992" w:gutter="0"/>
          <w:cols w:num="1" w:sep="0" w:space="720" w:equalWidth="1"/>
          <w:docGrid w:linePitch="360"/>
        </w:sectPr>
      </w:pPr>
      <w:r>
        <w:rPr>
          <w:b/>
          <w:color w:val="auto"/>
          <w:sz w:val="24"/>
        </w:rPr>
      </w:r>
      <w:r/>
    </w:p>
    <w:p>
      <w:pPr>
        <w:ind w:firstLine="3363"/>
        <w:rPr>
          <w:b/>
          <w:color w:val="auto"/>
          <w:sz w:val="24"/>
        </w:rPr>
      </w:pPr>
      <w:r>
        <w:rPr>
          <w:rFonts w:hint="eastAsia"/>
          <w:b/>
          <w:color w:val="auto"/>
          <w:sz w:val="24"/>
        </w:rPr>
        <w:t xml:space="preserve">查 勘 现 场 照</w:t>
      </w:r>
      <w:r/>
    </w:p>
    <w:tbl>
      <w:tblPr>
        <w:tblStyle w:val="866"/>
        <w:tblpPr w:horzAnchor="page" w:tblpX="705" w:vertAnchor="text" w:tblpY="267" w:leftFromText="180" w:topFromText="0" w:rightFromText="180" w:bottomFromText="0"/>
        <w:tblW w:w="10525" w:type="dxa"/>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108" w:type="dxa"/>
          <w:top w:w="0" w:type="dxa"/>
          <w:right w:w="108" w:type="dxa"/>
          <w:bottom w:w="0" w:type="dxa"/>
        </w:tblCellMar>
        <w:tblLook w:val="04A0" w:firstRow="1" w:lastRow="0" w:firstColumn="1" w:lastColumn="0" w:noHBand="0" w:noVBand="1"/>
      </w:tblPr>
      <w:tblGrid>
        <w:gridCol w:w="2578"/>
        <w:gridCol w:w="1752"/>
        <w:gridCol w:w="1095"/>
        <w:gridCol w:w="2379"/>
        <w:gridCol w:w="1641"/>
        <w:gridCol w:w="1080"/>
      </w:tblGrid>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被保险人</w:t>
            </w:r>
            <w:r/>
          </w:p>
        </w:tc>
        <w:tc>
          <w:tcPr>
            <w:gridSpan w:val="2"/>
            <w:tcW w:w="2847" w:type="dxa"/>
            <w:vAlign w:val="center"/>
            <w:textDirection w:val="lrTb"/>
            <w:noWrap w:val="false"/>
          </w:tcPr>
          <w:p>
            <w:pPr>
              <w:jc w:val="left"/>
              <w:widowControl/>
              <w:rPr>
                <w:rFonts w:ascii="仿宋" w:hAnsi="仿宋" w:cs="仿宋" w:eastAsia="仿宋" w:hint="eastAsia"/>
                <w:color w:val="auto"/>
                <w:sz w:val="21"/>
                <w:szCs w:val="21"/>
              </w:rPr>
            </w:pPr>
            <w:r>
              <w:rPr>
                <w:rFonts w:hint="eastAsia"/>
                <w:color w:val="auto"/>
                <w:sz w:val="24"/>
              </w:rPr>
              <w:t xml:space="preserve">李慧 </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车号</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eastAsia="仿宋" w:hint="eastAsia"/>
                <w:color w:val="auto"/>
                <w:sz w:val="24"/>
              </w:rPr>
              <w:t xml:space="preserve">辽B38U94</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出险地点</w:t>
            </w:r>
            <w:r/>
          </w:p>
        </w:tc>
        <w:tc>
          <w:tcPr>
            <w:gridSpan w:val="2"/>
            <w:tcW w:w="2847"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拍照地点</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拍照时间</w:t>
            </w:r>
            <w:r/>
          </w:p>
        </w:tc>
        <w:tc>
          <w:tcPr>
            <w:gridSpan w:val="2"/>
            <w:tcW w:w="2847" w:type="dxa"/>
            <w:vAlign w:val="top"/>
            <w:textDirection w:val="lrTb"/>
            <w:noWrap w:val="false"/>
          </w:tcPr>
          <w:p>
            <w:pPr>
              <w:widowControl/>
              <w:rPr>
                <w:rFonts w:ascii="仿宋" w:hAnsi="仿宋" w:cs="仿宋" w:eastAsia="仿宋"/>
                <w:color w:val="auto"/>
                <w:sz w:val="21"/>
                <w:szCs w:val="21"/>
              </w:rPr>
            </w:pPr>
            <w:r>
              <w:rPr>
                <w:rFonts w:ascii="仿宋" w:hAnsi="仿宋" w:cs="仿宋" w:eastAsia="仿宋" w:hint="eastAsia"/>
                <w:color w:val="auto"/>
                <w:sz w:val="21"/>
                <w:szCs w:val="21"/>
              </w:rPr>
              <w:t xml:space="preserve">2020-10-05</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拍照人</w:t>
            </w:r>
            <w:r/>
          </w:p>
        </w:tc>
        <w:tc>
          <w:tcPr>
            <w:gridSpan w:val="2"/>
            <w:tcW w:w="2721" w:type="dxa"/>
            <w:vAlign w:val="top"/>
            <w:textDirection w:val="lrTb"/>
            <w:noWrap w:val="false"/>
          </w:tcPr>
          <w:p>
            <w:pPr>
              <w:rPr>
                <w:rFonts w:ascii="仿宋" w:hAnsi="仿宋" w:cs="仿宋" w:eastAsia="仿宋"/>
                <w:color w:val="auto"/>
                <w:sz w:val="21"/>
                <w:szCs w:val="21"/>
              </w:rPr>
            </w:pPr>
            <w:r>
              <w:rPr>
                <w:rFonts w:ascii="仿宋" w:hAnsi="仿宋" w:cs="仿宋" w:eastAsia="仿宋" w:hint="eastAsia"/>
                <w:color w:val="auto"/>
                <w:sz w:val="21"/>
                <w:szCs w:val="21"/>
              </w:rPr>
              <w:t xml:space="preserve">杨建</w:t>
            </w:r>
            <w:r/>
          </w:p>
        </w:tc>
      </w:tr>
      <w:tr>
        <w:trPr>
          <w:trHeight w:val="2741" w:hRule="exact"/>
        </w:trPr>
        <w:tc>
          <w:tcPr>
            <w:gridSpan w:val="2"/>
            <w:tcW w:w="433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2" name="图片 81" descr="微信图片_202010190829281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81" descr="微信图片_2020101908292810" hidden="0"/>
                              <pic:cNvPicPr>
                                <a:picLocks noChangeAspect="1"/>
                              </pic:cNvPicPr>
                              <pic:nvPr isPhoto="0" userDrawn="0"/>
                            </pic:nvPicPr>
                            <pic:blipFill>
                              <a:blip r:embed="rId18"/>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190.1pt;height:142.5pt;" strokeweight="0.75pt">
                      <v:path textboxrect="0,0,0,0"/>
                      <v:imagedata r:id="rId18"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802"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3" name="图片 82" descr="微信图片_2020101908292827"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82" descr="微信图片_2020101908292827" hidden="0"/>
                              <pic:cNvPicPr>
                                <a:picLocks noChangeAspect="1"/>
                              </pic:cNvPicPr>
                              <pic:nvPr isPhoto="0" userDrawn="0"/>
                            </pic:nvPicPr>
                            <pic:blipFill>
                              <a:blip r:embed="rId19"/>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205.2pt;height:153.9pt;" strokeweight="0.75pt">
                      <v:path textboxrect="0,0,0,0"/>
                      <v:imagedata r:id="rId19"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4" name="图片 83" descr="微信图片_202010190829281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83" descr="微信图片_2020101908292816" hidden="0"/>
                              <pic:cNvPicPr>
                                <a:picLocks noChangeAspect="1"/>
                              </pic:cNvPicPr>
                              <pic:nvPr isPhoto="0" userDrawn="0"/>
                            </pic:nvPicPr>
                            <pic:blipFill>
                              <a:blip r:embed="rId20"/>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190.1pt;height:142.5pt;" strokeweight="0.75pt">
                      <v:path textboxrect="0,0,0,0"/>
                      <v:imagedata r:id="rId20"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758"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5" name="图片 84" descr="微信图片_202010190829283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84" descr="微信图片_2020101908292830" hidden="0"/>
                              <pic:cNvPicPr>
                                <a:picLocks noChangeAspect="1"/>
                              </pic:cNvPicPr>
                              <pic:nvPr isPhoto="0" userDrawn="0"/>
                            </pic:nvPicPr>
                            <pic:blipFill>
                              <a:blip r:embed="rId21"/>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205.2pt;height:153.9pt;" strokeweight="0.75pt">
                      <v:path textboxrect="0,0,0,0"/>
                      <v:imagedata r:id="rId21"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6" name="图片 85" descr="微信图片_202010190829285"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5" descr="微信图片_202010190829285" hidden="0"/>
                              <pic:cNvPicPr>
                                <a:picLocks noChangeAspect="1"/>
                              </pic:cNvPicPr>
                              <pic:nvPr isPhoto="0" userDrawn="0"/>
                            </pic:nvPicPr>
                            <pic:blipFill>
                              <a:blip r:embed="rId22"/>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190.1pt;height:142.5pt;" strokeweight="0.75pt">
                      <v:path textboxrect="0,0,0,0"/>
                      <v:imagedata r:id="rId22"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r>
      <w:tr>
        <w:trPr>
          <w:trHeight w:val="2901"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7" name="图片 86" descr="微信图片_202010190829281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86" descr="微信图片_2020101908292811" hidden="0"/>
                              <pic:cNvPicPr>
                                <a:picLocks noChangeAspect="1"/>
                              </pic:cNvPicPr>
                              <pic:nvPr isPhoto="0" userDrawn="0"/>
                            </pic:nvPicPr>
                            <pic:blipFill>
                              <a:blip r:embed="rId23"/>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205.2pt;height:153.9pt;" strokeweight="0.75pt">
                      <v:path textboxrect="0,0,0,0"/>
                      <v:imagedata r:id="rId23"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c>
          <w:tcPr>
            <w:gridSpan w:val="2"/>
            <w:tcW w:w="402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r>
    </w:tbl>
    <w:p>
      <w:pPr>
        <w:pStyle w:val="869"/>
        <w:ind w:firstLine="0"/>
        <w:rPr>
          <w:rFonts w:ascii="宋体" w:hAnsi="宋体"/>
          <w:color w:val="auto"/>
        </w:rPr>
      </w:pPr>
      <w:r>
        <w:rPr>
          <w:rFonts w:ascii="宋体" w:hAnsi="宋体"/>
          <w:color w:val="auto"/>
        </w:rPr>
      </w:r>
      <w:r/>
    </w:p>
    <w:p>
      <w:pPr>
        <w:pStyle w:val="869"/>
        <w:ind w:firstLine="0"/>
        <w:rPr>
          <w:rFonts w:ascii="宋体" w:hAnsi="宋体"/>
          <w:color w:val="auto"/>
        </w:rPr>
      </w:pPr>
      <w:r>
        <w:rPr>
          <w:rFonts w:ascii="宋体" w:hAnsi="宋体"/>
          <w:color w:val="auto"/>
        </w:rPr>
      </w:r>
      <w:r/>
    </w:p>
    <w:sectPr>
      <w:footerReference w:type="default" r:id="rId17"/>
      <w:footnotePr/>
      <w:endnotePr/>
      <w:type w:val="nextPage"/>
      <w:pgSz w:w="11907" w:h="16840" w:orient="portrait"/>
      <w:pgMar w:top="936" w:right="958" w:bottom="471" w:left="1620" w:header="851" w:footer="992"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 o:spid="_x0000_s1" o:spt="1" style="position:absolute;mso-wrap-distance-left:9.0pt;mso-wrap-distance-top:0.0pt;mso-wrap-distance-right:9.0pt;mso-wrap-distance-bottom:0.0pt;z-index:25166643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 xml:space="preserve">1</w:t>
                    </w:r>
                    <w:r>
                      <w:rPr>
                        <w:sz w:val="15"/>
                        <w:szCs w:val="15"/>
                      </w:rPr>
                      <w:fldChar w:fldCharType="end"/>
                    </w:r>
                    <w:r>
                      <w:rPr>
                        <w:sz w:val="15"/>
                        <w:szCs w:val="15"/>
                      </w:rPr>
                      <w:t xml:space="preserve"> 页</w:t>
                    </w:r>
                    <w:r/>
                  </w:p>
                </w:txbxContent>
              </v:textbox>
            </v:shape>
          </w:pict>
        </mc:Fallback>
      </mc:AlternateContent>
    </w:r>
    <w:r>
      <w:rPr>
        <w:rFonts w:hint="eastAsia"/>
        <w:color w:val="000000"/>
        <w:sz w:val="15"/>
        <w:szCs w:val="15"/>
      </w:rPr>
      <w:t xml:space="preserve">项目评估报告书附件</w:t>
    </w:r>
    <w:r/>
  </w:p>
  <w:p>
    <w:pPr>
      <w:pStyle w:val="87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745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10</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第 1 页                                             </w:t>
    </w:r>
    <w:r/>
  </w:p>
  <w:p>
    <w:pPr>
      <w:pStyle w:val="871"/>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848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11</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9504;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12</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70528;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13</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71552;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14</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1"/>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7" o:spid="_x0000_s7" o:spt="1" style="position:absolute;mso-wrap-distance-left:9.0pt;mso-wrap-distance-top:0.0pt;mso-wrap-distance-right:9.0pt;mso-wrap-distance-bottom:0.0pt;z-index:251661312;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1"/>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1"/>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8" o:spid="_x0000_s8" o:spt="1" style="position:absolute;mso-wrap-distance-left:9.0pt;mso-wrap-distance-top:0.0pt;mso-wrap-distance-right:9.0pt;mso-wrap-distance-bottom:0.0pt;z-index:251672576;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15</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871"/>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9" o:spid="_x0000_s9" o:spt="1" style="position:absolute;mso-wrap-distance-left:9.0pt;mso-wrap-distance-top:0.0pt;mso-wrap-distance-right:9.0pt;mso-wrap-distance-bottom:0.0pt;z-index:251665408;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871"/>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871"/>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69"/>
      <w:ind w:firstLine="0"/>
      <w:rPr>
        <w:color w:val="000000"/>
        <w:sz w:val="15"/>
      </w:rPr>
    </w:pPr>
    <w:r>
      <w:rPr>
        <w:sz w:val="15"/>
      </w:rPr>
      <mc:AlternateContent>
        <mc:Choice Requires="wpg">
          <w:drawing>
            <wp:anchor xmlns:wp="http://schemas.openxmlformats.org/drawingml/2006/wordprocessingDrawing"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8"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10" o:spid="_x0000_s10" o:spt="1" style="position:absolute;mso-wrap-distance-left:9.0pt;mso-wrap-distance-top:0.0pt;mso-wrap-distance-right:9.0pt;mso-wrap-distance-bottom:0.0pt;z-index:251673600;o:allowoverlap:true;o:allowincell:true;mso-position-horizontal-relative:margin;mso-position-horizontal:center;mso-position-vertical-relative:text;margin-top:0.0pt;mso-position-vertical:absolute;width:144.0pt;height:144.0pt;v-text-anchor:top;" coordsize="100000,100000" path="" filled="f" strokeweight="0.50pt">
              <v:path textboxrect="0,0,0,0"/>
              <v:textbox>
                <w:txbxContent>
                  <w:p>
                    <w:pPr>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 xml:space="preserve">16</w:t>
                    </w:r>
                    <w:r>
                      <w:rPr>
                        <w:sz w:val="18"/>
                      </w:rPr>
                      <w:fldChar w:fldCharType="end"/>
                    </w:r>
                    <w:r>
                      <w:rPr>
                        <w:sz w:val="18"/>
                      </w:rPr>
                      <w:t xml:space="preserve"> 页</w:t>
                    </w:r>
                    <w:r/>
                  </w:p>
                </w:txbxContent>
              </v:textbox>
            </v:shape>
          </w:pict>
        </mc:Fallback>
      </mc:AlternateContent>
    </w:r>
    <w:r>
      <w:rPr>
        <w:rFonts w:hint="eastAsia"/>
        <w:color w:val="000000"/>
        <w:sz w:val="15"/>
        <w:szCs w:val="15"/>
      </w:rPr>
      <w:t xml:space="preserve">李慧项目评估报告书附件</w:t>
    </w:r>
    <w:r>
      <w:rPr>
        <w:rFonts w:hint="eastAsia"/>
        <w:color w:val="000000"/>
        <w:sz w:val="15"/>
      </w:rPr>
      <w:t xml:space="preserve">                                                                      </w:t>
    </w:r>
    <w:r/>
  </w:p>
  <w:p>
    <w:pPr>
      <w:pStyle w:val="87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2"/>
      <w:rPr>
        <w:rFonts w:hint="eastAsia"/>
      </w:rP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1" name="图片 2" descr="亭雨漫步-0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2" descr="亭雨漫步-01" hidden="0"/>
                      <pic:cNvPicPr>
                        <a:picLocks noChangeAspect="1"/>
                      </pic:cNvPicPr>
                      <pic:nvPr isPhoto="0" userDrawn="0"/>
                    </pic:nvPicPr>
                    <pic:blipFill>
                      <a:blip r:embed="rId1"/>
                      <a:srcRect l="32843" t="24971" r="31702" b="34084"/>
                      <a:stretch/>
                    </pic:blipFill>
                    <pic:spPr bwMode="auto">
                      <a:xfrm>
                        <a:off x="0" y="0"/>
                        <a:ext cx="715010" cy="487045"/>
                      </a:xfrm>
                      <a:prstGeom prst="rect">
                        <a:avLst/>
                      </a:prstGeom>
                      <a:noFill/>
                      <a:ln w="9525">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7.1pt;mso-position-horizontal:absolute;mso-position-vertical-relative:text;margin-top:-20.6pt;mso-position-vertical:absolute;width:56.3pt;height:38.4pt;" strokeweight="0.75pt">
              <v:path textboxrect="0,0,0,0"/>
              <v:imagedata r:id="rId1" o:title=""/>
            </v:shape>
          </w:pict>
        </mc:Fallback>
      </mc:AlternateContent>
    </w:r>
    <w:r>
      <w:rPr>
        <w:rFonts w:hint="eastAsia"/>
      </w:rPr>
      <w:t xml:space="preserve">                                                                       辽宁鑫宏成机动车鉴定评估有限公司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00" w:hanging="360"/>
        <w:tabs>
          <w:tab w:val="left" w:pos="900" w:leader="none"/>
        </w:tabs>
      </w:pPr>
      <w:rPr>
        <w:rFonts w:hint="eastAsia"/>
      </w:rPr>
    </w:lvl>
    <w:lvl w:ilvl="1">
      <w:start w:val="1"/>
      <w:numFmt w:val="lowerLetter"/>
      <w:isLgl w:val="false"/>
      <w:suff w:val="tab"/>
      <w:lvlText w:val="%2)"/>
      <w:lvlJc w:val="left"/>
      <w:pPr>
        <w:ind w:left="1380" w:hanging="420"/>
        <w:tabs>
          <w:tab w:val="left" w:pos="1380" w:leader="none"/>
        </w:tabs>
      </w:pPr>
    </w:lvl>
    <w:lvl w:ilvl="2">
      <w:start w:val="1"/>
      <w:numFmt w:val="lowerRoman"/>
      <w:isLgl w:val="false"/>
      <w:suff w:val="tab"/>
      <w:lvlText w:val="%3."/>
      <w:lvlJc w:val="right"/>
      <w:pPr>
        <w:ind w:left="1800" w:hanging="420"/>
        <w:tabs>
          <w:tab w:val="left" w:pos="1800" w:leader="none"/>
        </w:tabs>
      </w:pPr>
    </w:lvl>
    <w:lvl w:ilvl="3">
      <w:start w:val="1"/>
      <w:numFmt w:val="decimal"/>
      <w:isLgl w:val="false"/>
      <w:suff w:val="tab"/>
      <w:lvlText w:val="%4."/>
      <w:lvlJc w:val="left"/>
      <w:pPr>
        <w:ind w:left="2220" w:hanging="420"/>
        <w:tabs>
          <w:tab w:val="left" w:pos="2220" w:leader="none"/>
        </w:tabs>
      </w:pPr>
    </w:lvl>
    <w:lvl w:ilvl="4">
      <w:start w:val="1"/>
      <w:numFmt w:val="lowerLetter"/>
      <w:isLgl w:val="false"/>
      <w:suff w:val="tab"/>
      <w:lvlText w:val="%5)"/>
      <w:lvlJc w:val="left"/>
      <w:pPr>
        <w:ind w:left="2640" w:hanging="420"/>
        <w:tabs>
          <w:tab w:val="left" w:pos="2640" w:leader="none"/>
        </w:tabs>
      </w:pPr>
    </w:lvl>
    <w:lvl w:ilvl="5">
      <w:start w:val="1"/>
      <w:numFmt w:val="lowerRoman"/>
      <w:isLgl w:val="false"/>
      <w:suff w:val="tab"/>
      <w:lvlText w:val="%6."/>
      <w:lvlJc w:val="right"/>
      <w:pPr>
        <w:ind w:left="3060" w:hanging="420"/>
        <w:tabs>
          <w:tab w:val="left" w:pos="3060" w:leader="none"/>
        </w:tabs>
      </w:pPr>
    </w:lvl>
    <w:lvl w:ilvl="6">
      <w:start w:val="1"/>
      <w:numFmt w:val="decimal"/>
      <w:isLgl w:val="false"/>
      <w:suff w:val="tab"/>
      <w:lvlText w:val="%7."/>
      <w:lvlJc w:val="left"/>
      <w:pPr>
        <w:ind w:left="3480" w:hanging="420"/>
        <w:tabs>
          <w:tab w:val="left" w:pos="3480" w:leader="none"/>
        </w:tabs>
      </w:pPr>
    </w:lvl>
    <w:lvl w:ilvl="7">
      <w:start w:val="1"/>
      <w:numFmt w:val="lowerLetter"/>
      <w:isLgl w:val="false"/>
      <w:suff w:val="tab"/>
      <w:lvlText w:val="%8)"/>
      <w:lvlJc w:val="left"/>
      <w:pPr>
        <w:ind w:left="3900" w:hanging="420"/>
        <w:tabs>
          <w:tab w:val="left" w:pos="3900" w:leader="none"/>
        </w:tabs>
      </w:pPr>
    </w:lvl>
    <w:lvl w:ilvl="8">
      <w:start w:val="1"/>
      <w:numFmt w:val="lowerRoman"/>
      <w:isLgl w:val="false"/>
      <w:suff w:val="tab"/>
      <w:lvlText w:val="%9."/>
      <w:lvlJc w:val="right"/>
      <w:pPr>
        <w:ind w:left="4320" w:hanging="420"/>
        <w:tabs>
          <w:tab w:val="left" w:pos="4320" w:leader="none"/>
        </w:tabs>
      </w:pPr>
    </w:lvl>
  </w:abstractNum>
  <w:abstractNum w:abstractNumId="1">
    <w:multiLevelType w:val="hybridMultilevel"/>
    <w:lvl w:ilvl="0">
      <w:start w:val="1"/>
      <w:numFmt w:val="decimal"/>
      <w:isLgl w:val="false"/>
      <w:suff w:val="tab"/>
      <w:lvlText w:val="%1、"/>
      <w:lvlJc w:val="left"/>
      <w:pPr>
        <w:ind w:left="960" w:hanging="480"/>
        <w:tabs>
          <w:tab w:val="left" w:pos="960" w:leader="none"/>
        </w:tabs>
      </w:pPr>
      <w:rPr>
        <w:rFonts w:hint="eastAsia"/>
      </w:rPr>
    </w:lvl>
    <w:lvl w:ilvl="1">
      <w:start w:val="1"/>
      <w:numFmt w:val="decimal"/>
      <w:isLgl w:val="false"/>
      <w:suff w:val="tab"/>
      <w:lvlText w:val="（%2）"/>
      <w:lvlJc w:val="left"/>
      <w:pPr>
        <w:ind w:left="1620" w:hanging="720"/>
        <w:tabs>
          <w:tab w:val="left" w:pos="1620" w:leader="none"/>
        </w:tabs>
      </w:pPr>
      <w:rPr>
        <w:rFonts w:hint="eastAsia"/>
      </w:r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840" w:hanging="360"/>
        <w:tabs>
          <w:tab w:val="left" w:pos="840" w:leader="none"/>
        </w:tabs>
      </w:pPr>
      <w:rPr>
        <w:rFonts w:hint="eastAsia"/>
      </w:rPr>
    </w:lvl>
    <w:lvl w:ilvl="1">
      <w:start w:val="1"/>
      <w:numFmt w:val="lowerLetter"/>
      <w:isLgl w:val="false"/>
      <w:suff w:val="tab"/>
      <w:lvlText w:val="%2)"/>
      <w:lvlJc w:val="left"/>
      <w:pPr>
        <w:ind w:left="1320" w:hanging="420"/>
        <w:tabs>
          <w:tab w:val="left" w:pos="1320" w:leader="none"/>
        </w:tabs>
      </w:p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864"/>
    <w:next w:val="86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865"/>
    <w:link w:val="11"/>
    <w:uiPriority w:val="9"/>
    <w:rPr>
      <w:rFonts w:ascii="Arial" w:hAnsi="Arial" w:cs="Arial" w:eastAsia="Arial"/>
      <w:sz w:val="40"/>
      <w:szCs w:val="40"/>
    </w:rPr>
  </w:style>
  <w:style w:type="paragraph" w:styleId="13">
    <w:name w:val="Heading 2"/>
    <w:basedOn w:val="864"/>
    <w:next w:val="86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865"/>
    <w:link w:val="13"/>
    <w:uiPriority w:val="9"/>
    <w:rPr>
      <w:rFonts w:ascii="Arial" w:hAnsi="Arial" w:cs="Arial" w:eastAsia="Arial"/>
      <w:sz w:val="34"/>
    </w:rPr>
  </w:style>
  <w:style w:type="paragraph" w:styleId="15">
    <w:name w:val="Heading 3"/>
    <w:basedOn w:val="864"/>
    <w:next w:val="86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865"/>
    <w:link w:val="15"/>
    <w:uiPriority w:val="9"/>
    <w:rPr>
      <w:rFonts w:ascii="Arial" w:hAnsi="Arial" w:cs="Arial" w:eastAsia="Arial"/>
      <w:sz w:val="30"/>
      <w:szCs w:val="30"/>
    </w:rPr>
  </w:style>
  <w:style w:type="paragraph" w:styleId="17">
    <w:name w:val="Heading 4"/>
    <w:basedOn w:val="864"/>
    <w:next w:val="86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865"/>
    <w:link w:val="17"/>
    <w:uiPriority w:val="9"/>
    <w:rPr>
      <w:rFonts w:ascii="Arial" w:hAnsi="Arial" w:cs="Arial" w:eastAsia="Arial"/>
      <w:b/>
      <w:bCs/>
      <w:sz w:val="26"/>
      <w:szCs w:val="26"/>
    </w:rPr>
  </w:style>
  <w:style w:type="paragraph" w:styleId="19">
    <w:name w:val="Heading 5"/>
    <w:basedOn w:val="864"/>
    <w:next w:val="86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865"/>
    <w:link w:val="19"/>
    <w:uiPriority w:val="9"/>
    <w:rPr>
      <w:rFonts w:ascii="Arial" w:hAnsi="Arial" w:cs="Arial" w:eastAsia="Arial"/>
      <w:b/>
      <w:bCs/>
      <w:sz w:val="24"/>
      <w:szCs w:val="24"/>
    </w:rPr>
  </w:style>
  <w:style w:type="paragraph" w:styleId="21">
    <w:name w:val="Heading 6"/>
    <w:basedOn w:val="864"/>
    <w:next w:val="86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865"/>
    <w:link w:val="21"/>
    <w:uiPriority w:val="9"/>
    <w:rPr>
      <w:rFonts w:ascii="Arial" w:hAnsi="Arial" w:cs="Arial" w:eastAsia="Arial"/>
      <w:b/>
      <w:bCs/>
      <w:sz w:val="22"/>
      <w:szCs w:val="22"/>
    </w:rPr>
  </w:style>
  <w:style w:type="paragraph" w:styleId="23">
    <w:name w:val="Heading 7"/>
    <w:basedOn w:val="864"/>
    <w:next w:val="86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865"/>
    <w:link w:val="23"/>
    <w:uiPriority w:val="9"/>
    <w:rPr>
      <w:rFonts w:ascii="Arial" w:hAnsi="Arial" w:cs="Arial" w:eastAsia="Arial"/>
      <w:b/>
      <w:bCs/>
      <w:i/>
      <w:iCs/>
      <w:sz w:val="22"/>
      <w:szCs w:val="22"/>
    </w:rPr>
  </w:style>
  <w:style w:type="paragraph" w:styleId="25">
    <w:name w:val="Heading 8"/>
    <w:basedOn w:val="864"/>
    <w:next w:val="86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865"/>
    <w:link w:val="25"/>
    <w:uiPriority w:val="9"/>
    <w:rPr>
      <w:rFonts w:ascii="Arial" w:hAnsi="Arial" w:cs="Arial" w:eastAsia="Arial"/>
      <w:i/>
      <w:iCs/>
      <w:sz w:val="22"/>
      <w:szCs w:val="22"/>
    </w:rPr>
  </w:style>
  <w:style w:type="paragraph" w:styleId="27">
    <w:name w:val="Heading 9"/>
    <w:basedOn w:val="864"/>
    <w:next w:val="86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865"/>
    <w:link w:val="27"/>
    <w:uiPriority w:val="9"/>
    <w:rPr>
      <w:rFonts w:ascii="Arial" w:hAnsi="Arial" w:cs="Arial" w:eastAsia="Arial"/>
      <w:i/>
      <w:iCs/>
      <w:sz w:val="21"/>
      <w:szCs w:val="21"/>
    </w:rPr>
  </w:style>
  <w:style w:type="paragraph" w:styleId="29">
    <w:name w:val="List Paragraph"/>
    <w:basedOn w:val="86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864"/>
    <w:next w:val="864"/>
    <w:link w:val="33"/>
    <w:qFormat/>
    <w:uiPriority w:val="10"/>
    <w:rPr>
      <w:sz w:val="48"/>
      <w:szCs w:val="48"/>
    </w:rPr>
    <w:pPr>
      <w:contextualSpacing w:val="true"/>
      <w:spacing w:after="200" w:before="300"/>
    </w:pPr>
  </w:style>
  <w:style w:type="character" w:styleId="33">
    <w:name w:val="Title Char"/>
    <w:basedOn w:val="865"/>
    <w:link w:val="32"/>
    <w:uiPriority w:val="10"/>
    <w:rPr>
      <w:sz w:val="48"/>
      <w:szCs w:val="48"/>
    </w:rPr>
  </w:style>
  <w:style w:type="paragraph" w:styleId="34">
    <w:name w:val="Subtitle"/>
    <w:basedOn w:val="864"/>
    <w:next w:val="864"/>
    <w:link w:val="35"/>
    <w:qFormat/>
    <w:uiPriority w:val="11"/>
    <w:rPr>
      <w:sz w:val="24"/>
      <w:szCs w:val="24"/>
    </w:rPr>
    <w:pPr>
      <w:spacing w:after="200" w:before="200"/>
    </w:pPr>
  </w:style>
  <w:style w:type="character" w:styleId="35">
    <w:name w:val="Subtitle Char"/>
    <w:basedOn w:val="865"/>
    <w:link w:val="34"/>
    <w:uiPriority w:val="11"/>
    <w:rPr>
      <w:sz w:val="24"/>
      <w:szCs w:val="24"/>
    </w:rPr>
  </w:style>
  <w:style w:type="paragraph" w:styleId="36">
    <w:name w:val="Quote"/>
    <w:basedOn w:val="864"/>
    <w:next w:val="864"/>
    <w:link w:val="37"/>
    <w:qFormat/>
    <w:uiPriority w:val="29"/>
    <w:rPr>
      <w:i/>
    </w:rPr>
    <w:pPr>
      <w:ind w:left="720" w:right="720"/>
    </w:pPr>
  </w:style>
  <w:style w:type="character" w:styleId="37">
    <w:name w:val="Quote Char"/>
    <w:link w:val="36"/>
    <w:uiPriority w:val="29"/>
    <w:rPr>
      <w:i/>
    </w:rPr>
  </w:style>
  <w:style w:type="paragraph" w:styleId="38">
    <w:name w:val="Intense Quote"/>
    <w:basedOn w:val="864"/>
    <w:next w:val="86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865"/>
    <w:link w:val="872"/>
    <w:uiPriority w:val="99"/>
  </w:style>
  <w:style w:type="character" w:styleId="43">
    <w:name w:val="Footer Char"/>
    <w:basedOn w:val="865"/>
    <w:link w:val="871"/>
    <w:uiPriority w:val="99"/>
  </w:style>
  <w:style w:type="paragraph" w:styleId="44">
    <w:name w:val="Caption"/>
    <w:basedOn w:val="864"/>
    <w:next w:val="864"/>
    <w:qFormat/>
    <w:uiPriority w:val="35"/>
    <w:semiHidden/>
    <w:unhideWhenUsed/>
    <w:rPr>
      <w:b/>
      <w:bCs/>
      <w:color w:val="4F81BD" w:themeColor="accent1"/>
      <w:sz w:val="18"/>
      <w:szCs w:val="18"/>
    </w:rPr>
    <w:pPr>
      <w:spacing w:lineRule="auto" w:line="276"/>
    </w:pPr>
  </w:style>
  <w:style w:type="character" w:styleId="45">
    <w:name w:val="Caption Char"/>
    <w:basedOn w:val="44"/>
    <w:link w:val="871"/>
    <w:uiPriority w:val="99"/>
  </w:style>
  <w:style w:type="table" w:styleId="47">
    <w:name w:val="Table Grid Light"/>
    <w:basedOn w:val="8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8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8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8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8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8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8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8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8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8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8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8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8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8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8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8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8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8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8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8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8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8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8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8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8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8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8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8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8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8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8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8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8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8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8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8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8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8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8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8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8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8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8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8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8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8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8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86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86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86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86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86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86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86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8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8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8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8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8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8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8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8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8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8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8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8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8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8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8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8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8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8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8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8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8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8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8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8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8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8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8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8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8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8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8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8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8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8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8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8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8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8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8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8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8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8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8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8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8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8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8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8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8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8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8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8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8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8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8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8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8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character" w:styleId="174">
    <w:name w:val="Footnote Text Char"/>
    <w:link w:val="873"/>
    <w:uiPriority w:val="99"/>
    <w:rPr>
      <w:sz w:val="18"/>
    </w:rPr>
  </w:style>
  <w:style w:type="paragraph" w:styleId="176">
    <w:name w:val="endnote text"/>
    <w:basedOn w:val="86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865"/>
    <w:uiPriority w:val="99"/>
    <w:semiHidden/>
    <w:unhideWhenUsed/>
    <w:rPr>
      <w:vertAlign w:val="superscript"/>
    </w:rPr>
  </w:style>
  <w:style w:type="paragraph" w:styleId="179">
    <w:name w:val="toc 1"/>
    <w:basedOn w:val="864"/>
    <w:next w:val="864"/>
    <w:uiPriority w:val="39"/>
    <w:unhideWhenUsed/>
    <w:pPr>
      <w:ind w:left="0" w:right="0" w:firstLine="0"/>
      <w:spacing w:after="57"/>
    </w:pPr>
  </w:style>
  <w:style w:type="paragraph" w:styleId="180">
    <w:name w:val="toc 2"/>
    <w:basedOn w:val="864"/>
    <w:next w:val="864"/>
    <w:uiPriority w:val="39"/>
    <w:unhideWhenUsed/>
    <w:pPr>
      <w:ind w:left="283" w:right="0" w:firstLine="0"/>
      <w:spacing w:after="57"/>
    </w:pPr>
  </w:style>
  <w:style w:type="paragraph" w:styleId="181">
    <w:name w:val="toc 3"/>
    <w:basedOn w:val="864"/>
    <w:next w:val="864"/>
    <w:uiPriority w:val="39"/>
    <w:unhideWhenUsed/>
    <w:pPr>
      <w:ind w:left="567" w:right="0" w:firstLine="0"/>
      <w:spacing w:after="57"/>
    </w:pPr>
  </w:style>
  <w:style w:type="paragraph" w:styleId="182">
    <w:name w:val="toc 4"/>
    <w:basedOn w:val="864"/>
    <w:next w:val="864"/>
    <w:uiPriority w:val="39"/>
    <w:unhideWhenUsed/>
    <w:pPr>
      <w:ind w:left="850" w:right="0" w:firstLine="0"/>
      <w:spacing w:after="57"/>
    </w:pPr>
  </w:style>
  <w:style w:type="paragraph" w:styleId="183">
    <w:name w:val="toc 5"/>
    <w:basedOn w:val="864"/>
    <w:next w:val="864"/>
    <w:uiPriority w:val="39"/>
    <w:unhideWhenUsed/>
    <w:pPr>
      <w:ind w:left="1134" w:right="0" w:firstLine="0"/>
      <w:spacing w:after="57"/>
    </w:pPr>
  </w:style>
  <w:style w:type="paragraph" w:styleId="184">
    <w:name w:val="toc 6"/>
    <w:basedOn w:val="864"/>
    <w:next w:val="864"/>
    <w:uiPriority w:val="39"/>
    <w:unhideWhenUsed/>
    <w:pPr>
      <w:ind w:left="1417" w:right="0" w:firstLine="0"/>
      <w:spacing w:after="57"/>
    </w:pPr>
  </w:style>
  <w:style w:type="paragraph" w:styleId="185">
    <w:name w:val="toc 7"/>
    <w:basedOn w:val="864"/>
    <w:next w:val="864"/>
    <w:uiPriority w:val="39"/>
    <w:unhideWhenUsed/>
    <w:pPr>
      <w:ind w:left="1701" w:right="0" w:firstLine="0"/>
      <w:spacing w:after="57"/>
    </w:pPr>
  </w:style>
  <w:style w:type="paragraph" w:styleId="186">
    <w:name w:val="toc 8"/>
    <w:basedOn w:val="864"/>
    <w:next w:val="864"/>
    <w:uiPriority w:val="39"/>
    <w:unhideWhenUsed/>
    <w:pPr>
      <w:ind w:left="1984" w:right="0" w:firstLine="0"/>
      <w:spacing w:after="57"/>
    </w:pPr>
  </w:style>
  <w:style w:type="paragraph" w:styleId="187">
    <w:name w:val="toc 9"/>
    <w:basedOn w:val="864"/>
    <w:next w:val="864"/>
    <w:uiPriority w:val="39"/>
    <w:unhideWhenUsed/>
    <w:pPr>
      <w:ind w:left="2268" w:right="0" w:firstLine="0"/>
      <w:spacing w:after="57"/>
    </w:pPr>
  </w:style>
  <w:style w:type="paragraph" w:styleId="188">
    <w:name w:val="TOC Heading"/>
    <w:uiPriority w:val="39"/>
    <w:unhideWhenUsed/>
  </w:style>
  <w:style w:type="paragraph" w:styleId="864" w:default="1">
    <w:name w:val="Normal"/>
    <w:qFormat/>
    <w:uiPriority w:val="0"/>
    <w:rPr>
      <w:rFonts w:ascii="Times New Roman" w:hAnsi="Times New Roman" w:cs="Times New Roman" w:eastAsia="宋体"/>
      <w:sz w:val="21"/>
      <w:szCs w:val="24"/>
      <w:lang w:val="en-US" w:bidi="ar-SA" w:eastAsia="zh-CN"/>
    </w:rPr>
    <w:pPr>
      <w:jc w:val="both"/>
      <w:widowControl w:val="off"/>
    </w:pPr>
  </w:style>
  <w:style w:type="character" w:styleId="865" w:default="1">
    <w:name w:val="Default Paragraph Font"/>
    <w:qFormat/>
    <w:uiPriority w:val="1"/>
    <w:unhideWhenUsed/>
  </w:style>
  <w:style w:type="table" w:styleId="866" w:default="1">
    <w:name w:val="Normal Table"/>
    <w:qFormat/>
    <w:uiPriority w:val="99"/>
    <w:unhideWhenUsed/>
    <w:tblPr>
      <w:tblCellMar>
        <w:left w:w="108" w:type="dxa"/>
        <w:top w:w="0" w:type="dxa"/>
        <w:right w:w="108" w:type="dxa"/>
        <w:bottom w:w="0" w:type="dxa"/>
      </w:tblCellMar>
    </w:tblPr>
  </w:style>
  <w:style w:type="paragraph" w:styleId="867">
    <w:name w:val="annotation text"/>
    <w:basedOn w:val="864"/>
    <w:qFormat/>
    <w:uiPriority w:val="0"/>
    <w:pPr>
      <w:jc w:val="left"/>
    </w:pPr>
  </w:style>
  <w:style w:type="paragraph" w:styleId="868">
    <w:name w:val="Body Text"/>
    <w:basedOn w:val="864"/>
    <w:qFormat/>
    <w:uiPriority w:val="0"/>
    <w:rPr>
      <w:sz w:val="24"/>
    </w:rPr>
  </w:style>
  <w:style w:type="paragraph" w:styleId="869">
    <w:name w:val="Body Text Indent"/>
    <w:basedOn w:val="864"/>
    <w:qFormat/>
    <w:uiPriority w:val="0"/>
    <w:rPr>
      <w:sz w:val="24"/>
    </w:rPr>
    <w:pPr>
      <w:ind w:firstLine="480"/>
      <w:spacing w:lineRule="auto" w:line="360"/>
    </w:pPr>
  </w:style>
  <w:style w:type="paragraph" w:styleId="870">
    <w:name w:val="Balloon Text"/>
    <w:basedOn w:val="864"/>
    <w:qFormat/>
    <w:uiPriority w:val="0"/>
    <w:semiHidden/>
    <w:rPr>
      <w:sz w:val="18"/>
      <w:szCs w:val="18"/>
    </w:rPr>
  </w:style>
  <w:style w:type="paragraph" w:styleId="871">
    <w:name w:val="Footer"/>
    <w:basedOn w:val="864"/>
    <w:link w:val="877"/>
    <w:qFormat/>
    <w:uiPriority w:val="0"/>
    <w:rPr>
      <w:sz w:val="18"/>
      <w:szCs w:val="18"/>
    </w:rPr>
    <w:pPr>
      <w:jc w:val="left"/>
      <w:tabs>
        <w:tab w:val="center" w:pos="4153" w:leader="none"/>
        <w:tab w:val="right" w:pos="8306" w:leader="none"/>
      </w:tabs>
    </w:pPr>
  </w:style>
  <w:style w:type="paragraph" w:styleId="872">
    <w:name w:val="Header"/>
    <w:basedOn w:val="864"/>
    <w:link w:val="876"/>
    <w:qFormat/>
    <w:uiPriority w:val="0"/>
    <w:rPr>
      <w:sz w:val="18"/>
      <w:szCs w:val="18"/>
    </w:rPr>
    <w:pPr>
      <w:jc w:val="center"/>
      <w:tabs>
        <w:tab w:val="center" w:pos="4153" w:leader="none"/>
        <w:tab w:val="right" w:pos="8306" w:leader="none"/>
      </w:tabs>
      <w:pBdr>
        <w:bottom w:val="single" w:sz="6" w:space="1" w:color="auto"/>
      </w:pBdr>
    </w:pPr>
  </w:style>
  <w:style w:type="paragraph" w:styleId="873">
    <w:name w:val="footnote text"/>
    <w:basedOn w:val="864"/>
    <w:qFormat/>
    <w:uiPriority w:val="0"/>
    <w:rPr>
      <w:sz w:val="18"/>
    </w:rPr>
    <w:pPr>
      <w:jc w:val="left"/>
    </w:pPr>
  </w:style>
  <w:style w:type="character" w:styleId="874">
    <w:name w:val="footnote reference"/>
    <w:basedOn w:val="865"/>
    <w:qFormat/>
    <w:uiPriority w:val="0"/>
    <w:rPr>
      <w:vertAlign w:val="superscript"/>
    </w:rPr>
  </w:style>
  <w:style w:type="table" w:styleId="875">
    <w:name w:val="Table Grid"/>
    <w:basedOn w:val="866"/>
    <w:qFormat/>
    <w:uiPriority w:val="0"/>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76" w:customStyle="1">
    <w:name w:val="页眉 字符"/>
    <w:link w:val="872"/>
    <w:qFormat/>
    <w:uiPriority w:val="0"/>
    <w:rPr>
      <w:sz w:val="18"/>
      <w:szCs w:val="18"/>
    </w:rPr>
  </w:style>
  <w:style w:type="character" w:styleId="877" w:customStyle="1">
    <w:name w:val="页脚 字符"/>
    <w:link w:val="871"/>
    <w:qFormat/>
    <w:uiPriority w:val="0"/>
    <w:rPr>
      <w:sz w:val="18"/>
      <w:szCs w:val="18"/>
    </w:rPr>
  </w:style>
  <w:style w:type="numbering" w:styleId="220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2.jpg"/><Relationship Id="rId19" Type="http://schemas.openxmlformats.org/officeDocument/2006/relationships/image" Target="media/image3.jp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大连市旧机动车交易市场机动车置换中心</dc:title>
  <dc:creator>user</dc:creator>
  <cp:lastModifiedBy>yyc</cp:lastModifiedBy>
  <cp:revision>4</cp:revision>
  <dcterms:created xsi:type="dcterms:W3CDTF">2019-12-27T22:00:00Z</dcterms:created>
  <dcterms:modified xsi:type="dcterms:W3CDTF">2021-06-01T03:12:04Z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