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hint="eastAsia" w:ascii="黑体" w:hAnsi="黑体" w:eastAsia="黑体" w:cs="黑体"/>
          <w:b/>
          <w:bCs/>
          <w:sz w:val="72"/>
          <w:szCs w:val="72"/>
        </w:rPr>
      </w:pPr>
      <w:bookmarkStart w:id="1" w:name="_GoBack"/>
      <w:bookmarkEnd w:id="1"/>
    </w:p>
    <w:p>
      <w:pPr>
        <w:pStyle w:val="4"/>
        <w:keepNext w:val="0"/>
        <w:keepLines w:val="0"/>
        <w:widowControl/>
        <w:suppressLineNumbers w:val="0"/>
        <w:shd w:val="clear" w:fill="FFFFFF"/>
        <w:jc w:val="center"/>
        <w:rPr>
          <w:rFonts w:hint="eastAsia" w:ascii="黑体" w:hAnsi="黑体" w:eastAsia="黑体" w:cs="黑体"/>
          <w:b/>
          <w:bCs/>
          <w:sz w:val="72"/>
          <w:szCs w:val="72"/>
        </w:rPr>
      </w:pPr>
      <w:r>
        <w:rPr>
          <w:rFonts w:hint="default" w:ascii="黑体" w:hAnsi="黑体" w:eastAsia="黑体" w:cs="黑体"/>
          <w:b/>
          <w:bCs/>
          <w:kern w:val="2"/>
          <w:sz w:val="72"/>
          <w:szCs w:val="72"/>
          <w:lang w:val="en-US" w:eastAsia="zh-CN" w:bidi="ar-SA"/>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5"/>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5"/>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8"/>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sz w:val="30"/>
          <w:szCs w:val="30"/>
          <w:lang w:val="en-US" w:eastAsia="zh-CN"/>
        </w:rPr>
        <w:t>现行市价法，根据评估目的，本次鉴定采用的是现行市价法，现行市价法又称为市场法、市场价格比较法，是根据委托方提供的车辆运营情况及相关资料加以调整确定的。</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5"/>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2"/>
    <w:qFormat/>
    <w:uiPriority w:val="99"/>
    <w:rPr>
      <w:sz w:val="18"/>
      <w:szCs w:val="18"/>
    </w:rPr>
  </w:style>
  <w:style w:type="character" w:customStyle="1" w:styleId="10">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2020-11-03T04:54:00Z</dcterms:created>
  <dc:creator>li xingkai</dc:creator>
  <cp:lastModifiedBy>liuyutao</cp:lastModifiedBy>
  <dcterms:modified xsi:type="dcterms:W3CDTF">2021-05-24T13:43:12Z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